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794" w:rsidRPr="00D51A14" w:rsidRDefault="000D5794" w:rsidP="0075163D">
      <w:pPr>
        <w:pStyle w:val="ForewordHeading"/>
        <w:rPr>
          <w:color w:val="4F81BD"/>
        </w:rPr>
      </w:pPr>
      <w:bookmarkStart w:id="0" w:name="_GoBack"/>
      <w:bookmarkEnd w:id="0"/>
      <w:r w:rsidRPr="00D51A14">
        <w:rPr>
          <w:color w:val="4F81BD"/>
        </w:rPr>
        <w:t>Foreword</w:t>
      </w:r>
    </w:p>
    <w:p w:rsidR="00D51A14" w:rsidRPr="002A46CC" w:rsidRDefault="00D51A14" w:rsidP="00D51A14">
      <w:pPr>
        <w:pStyle w:val="Textodecuerpo"/>
      </w:pPr>
      <w:r w:rsidRPr="002A46CC">
        <w:t xml:space="preserve">The health status and income levels of older people have substantially improved over the last decades in OECD and emerging countries. This </w:t>
      </w:r>
      <w:r w:rsidRPr="002A46CC">
        <w:rPr>
          <w:i/>
        </w:rPr>
        <w:t>Preventing Ageing Unequally</w:t>
      </w:r>
      <w:r w:rsidRPr="002A46CC">
        <w:t xml:space="preserve"> report shows, however, that risks of increasing inequality among future retirees have been building up. Demographic changes combined with rising inequality trends and tight public finance constraints in many countries are modifying life prospects at older ages. With longer life expectancy, declining family size, higher inequality over the working lives and reforms that have reduced future retirement income and tightened the links between pension contributions and benefits, the experience of old age is going to change dramatically for today’s younger generations. Financing of pensions and caring for elderly people in particular might become more difficult, aggravating the burden for the most disadvantaged. The sustained and fairly generalised improvement in the living standards of older people is </w:t>
      </w:r>
      <w:r>
        <w:t xml:space="preserve">unlikely </w:t>
      </w:r>
      <w:r w:rsidRPr="002A46CC">
        <w:t xml:space="preserve">to be prolonged in the forthcoming decades. </w:t>
      </w:r>
    </w:p>
    <w:p w:rsidR="00D51A14" w:rsidRPr="002A46CC" w:rsidRDefault="00D51A14" w:rsidP="00D51A14">
      <w:pPr>
        <w:pStyle w:val="Textodecuerpo"/>
      </w:pPr>
      <w:r w:rsidRPr="002A46CC">
        <w:t>Inequalities have r</w:t>
      </w:r>
      <w:r w:rsidR="004D6112">
        <w:t>isen</w:t>
      </w:r>
      <w:r w:rsidRPr="002A46CC">
        <w:t xml:space="preserve"> to the </w:t>
      </w:r>
      <w:r w:rsidR="003E5901">
        <w:t>top</w:t>
      </w:r>
      <w:r w:rsidR="004D6112">
        <w:t xml:space="preserve"> of t</w:t>
      </w:r>
      <w:r w:rsidRPr="002A46CC">
        <w:t xml:space="preserve">he international policy agenda. Earnings and household income inequalities have increased over the past three decades in most countries, fuelled by </w:t>
      </w:r>
      <w:r w:rsidR="00883FFA">
        <w:t xml:space="preserve">the </w:t>
      </w:r>
      <w:r w:rsidRPr="002A46CC">
        <w:t>rising share of non-standard work, difficulties encountered by many young people in securing a foothold in the labour market and high unemployment in s</w:t>
      </w:r>
      <w:r w:rsidR="00883FFA">
        <w:t xml:space="preserve">ome countries </w:t>
      </w:r>
      <w:r w:rsidRPr="002A46CC">
        <w:t>(</w:t>
      </w:r>
      <w:r w:rsidRPr="002A46CC">
        <w:rPr>
          <w:i/>
        </w:rPr>
        <w:t>Divided We Stand</w:t>
      </w:r>
      <w:r w:rsidRPr="002A46CC">
        <w:t xml:space="preserve">, 2011; </w:t>
      </w:r>
      <w:r w:rsidRPr="002A46CC">
        <w:rPr>
          <w:i/>
        </w:rPr>
        <w:t>In It Together</w:t>
      </w:r>
      <w:r w:rsidRPr="002A46CC">
        <w:t xml:space="preserve">, 2015). The </w:t>
      </w:r>
      <w:r w:rsidRPr="002A46CC">
        <w:rPr>
          <w:i/>
        </w:rPr>
        <w:t>Preventing Ageing Unequally</w:t>
      </w:r>
      <w:r w:rsidRPr="002A46CC">
        <w:t xml:space="preserve"> project is part of a broader policy agenda of the OECD to address inequalities of opportunities and outcomes. In 2011, the introduction of the </w:t>
      </w:r>
      <w:r w:rsidRPr="00B91EFB">
        <w:rPr>
          <w:i/>
        </w:rPr>
        <w:t>OECD</w:t>
      </w:r>
      <w:r w:rsidRPr="002A46CC">
        <w:t xml:space="preserve"> </w:t>
      </w:r>
      <w:r w:rsidRPr="002A46CC">
        <w:rPr>
          <w:i/>
        </w:rPr>
        <w:t xml:space="preserve">Better Life </w:t>
      </w:r>
      <w:r w:rsidR="00B91EFB" w:rsidRPr="00B91EFB">
        <w:t>i</w:t>
      </w:r>
      <w:r w:rsidRPr="00B91EFB">
        <w:t>nitiative</w:t>
      </w:r>
      <w:r w:rsidRPr="002A46CC">
        <w:t xml:space="preserve"> has led to a better understanding of what drives well-being of people and nations. With the </w:t>
      </w:r>
      <w:r w:rsidRPr="002A46CC">
        <w:rPr>
          <w:i/>
        </w:rPr>
        <w:t>All on Board for Inclusive Growth</w:t>
      </w:r>
      <w:r w:rsidRPr="002A46CC">
        <w:t xml:space="preserve"> initiative launched in 2012, the OECD has developed a comprehensive framework to help countries design and implement comprehensive, multi-sectoral policies that can deliver stronger growth and greater inclusiveness.</w:t>
      </w:r>
      <w:r w:rsidRPr="002A46CC" w:rsidDel="00FB35C9">
        <w:t xml:space="preserve"> </w:t>
      </w:r>
    </w:p>
    <w:p w:rsidR="00D51A14" w:rsidRPr="002A46CC" w:rsidRDefault="00D51A14" w:rsidP="00D51A14">
      <w:pPr>
        <w:pStyle w:val="Textodecuerpo"/>
      </w:pPr>
      <w:r w:rsidRPr="002A46CC">
        <w:rPr>
          <w:i/>
        </w:rPr>
        <w:t>Preventing Ageing Unequally</w:t>
      </w:r>
      <w:r w:rsidRPr="002A46CC">
        <w:t xml:space="preserve"> clearly shows that socio</w:t>
      </w:r>
      <w:r w:rsidR="008E6454">
        <w:t>-</w:t>
      </w:r>
      <w:r w:rsidRPr="002A46CC">
        <w:t xml:space="preserve">economic outcomes of individuals build up from childhood to adulthood, and inequality of a given cohort later in life largely results from </w:t>
      </w:r>
      <w:r>
        <w:t xml:space="preserve">differences in </w:t>
      </w:r>
      <w:r w:rsidRPr="002A46CC">
        <w:t xml:space="preserve">individual experiences accumulated </w:t>
      </w:r>
      <w:r>
        <w:t>over</w:t>
      </w:r>
      <w:r w:rsidRPr="002A46CC">
        <w:t xml:space="preserve"> the</w:t>
      </w:r>
      <w:r>
        <w:t xml:space="preserve"> </w:t>
      </w:r>
      <w:r w:rsidRPr="002A46CC">
        <w:t xml:space="preserve">life course. Better health early in life tends to be correlated with better educational attainment and they both contribute to better labour market outcomes. In turn, </w:t>
      </w:r>
      <w:r>
        <w:t>people with</w:t>
      </w:r>
      <w:r w:rsidRPr="002A46CC">
        <w:t xml:space="preserve"> stable and well-paid jobs </w:t>
      </w:r>
      <w:r>
        <w:t xml:space="preserve">also </w:t>
      </w:r>
      <w:r w:rsidRPr="002A46CC">
        <w:t xml:space="preserve">tend to </w:t>
      </w:r>
      <w:r>
        <w:t xml:space="preserve">enjoy </w:t>
      </w:r>
      <w:r w:rsidRPr="002A46CC">
        <w:t>good access to health and other services, and are likely to retire with adequate income. These people are also more likely to have insurance or financial assets to cover them in case they need long-term care. By contrast, people who had low-quality jobs, low incomes and unstable careers are likely to be in worse health and face higher risks of poverty and if they need long-term care, what they get is likely to be rather dismal.</w:t>
      </w:r>
    </w:p>
    <w:p w:rsidR="00D51A14" w:rsidRPr="002A46CC" w:rsidRDefault="00D51A14" w:rsidP="00D51A14">
      <w:pPr>
        <w:pStyle w:val="Textodecuerpo"/>
      </w:pPr>
      <w:r w:rsidRPr="002A46CC">
        <w:t xml:space="preserve">Preventing ageing unequally requires a comprehensive policy approach to help individuals overcome disadvantages that could cumulate over their life course and result in bad health, low income and poverty at old age. </w:t>
      </w:r>
      <w:r w:rsidRPr="00DA4C71">
        <w:t xml:space="preserve">These policies will need to take account of the new realities people are facing today in their families, in their workplace, in their careers and in their health and disability risks. As OECD analysis shows, education, </w:t>
      </w:r>
      <w:r w:rsidRPr="00DA4C71">
        <w:lastRenderedPageBreak/>
        <w:t>health and employment experiences interact and compound inequality. This also means that inequality-reducing policies</w:t>
      </w:r>
      <w:r w:rsidRPr="00DA4C71" w:rsidDel="00A94C9B">
        <w:t xml:space="preserve"> </w:t>
      </w:r>
      <w:r w:rsidR="0010326E">
        <w:t xml:space="preserve">in one area will spill </w:t>
      </w:r>
      <w:r w:rsidRPr="00DA4C71">
        <w:t>over into other areas generat</w:t>
      </w:r>
      <w:r>
        <w:t>ing</w:t>
      </w:r>
      <w:r w:rsidRPr="00DA4C71">
        <w:t xml:space="preserve"> </w:t>
      </w:r>
      <w:r>
        <w:t>additional</w:t>
      </w:r>
      <w:r w:rsidRPr="00DA4C71">
        <w:t xml:space="preserve"> welfare </w:t>
      </w:r>
      <w:r>
        <w:t>effects</w:t>
      </w:r>
      <w:r w:rsidRPr="00DA4C71">
        <w:t>.</w:t>
      </w:r>
      <w:r>
        <w:t xml:space="preserve"> </w:t>
      </w:r>
      <w:r w:rsidRPr="002A46CC">
        <w:t>Th</w:t>
      </w:r>
      <w:r>
        <w:t>e</w:t>
      </w:r>
      <w:r w:rsidRPr="002A46CC">
        <w:t xml:space="preserve"> report identifies policies that can contain if not fully address the risks of unequal ageing. It suggests a policy agenda to prevent, mitigate and cope with these inequalities, drawing on good practices in OECD countries and emerging economies</w:t>
      </w:r>
      <w:r>
        <w:t xml:space="preserve">, which led to </w:t>
      </w:r>
      <w:r w:rsidRPr="002A46CC">
        <w:t xml:space="preserve">the OECD Action Plan on </w:t>
      </w:r>
      <w:r>
        <w:t xml:space="preserve">Preventing </w:t>
      </w:r>
      <w:r w:rsidRPr="002A46CC">
        <w:t>Ageing Unequally</w:t>
      </w:r>
      <w:r w:rsidRPr="00270CCF">
        <w:t xml:space="preserve"> </w:t>
      </w:r>
      <w:r>
        <w:t>endorsed by t</w:t>
      </w:r>
      <w:r w:rsidRPr="00045BCF">
        <w:t xml:space="preserve">he OECD Ministerial Council Meeting </w:t>
      </w:r>
      <w:r>
        <w:t>in June 2017</w:t>
      </w:r>
      <w:r w:rsidRPr="002A46CC">
        <w:t>.</w:t>
      </w:r>
      <w:r>
        <w:rPr>
          <w:rStyle w:val="Refdenotaalpie"/>
        </w:rPr>
        <w:footnoteReference w:id="1"/>
      </w:r>
    </w:p>
    <w:p w:rsidR="00D51A14" w:rsidRPr="002A46CC" w:rsidRDefault="00D51A14" w:rsidP="00D51A14">
      <w:pPr>
        <w:pStyle w:val="Textodecuerpo"/>
      </w:pPr>
    </w:p>
    <w:p w:rsidR="00D51A14" w:rsidRPr="00D51A14" w:rsidRDefault="00D51A14" w:rsidP="00D51A14">
      <w:pPr>
        <w:pStyle w:val="Textodecuerpo"/>
      </w:pPr>
    </w:p>
    <w:p w:rsidR="000D5794" w:rsidRPr="000D5794" w:rsidRDefault="000D5794" w:rsidP="0075163D">
      <w:pPr>
        <w:pStyle w:val="Textodecuerpo"/>
        <w:rPr>
          <w:lang w:val="en-GB"/>
        </w:rPr>
        <w:sectPr w:rsidR="000D5794" w:rsidRPr="000D5794" w:rsidSect="00473421">
          <w:headerReference w:type="even" r:id="rId12"/>
          <w:headerReference w:type="default" r:id="rId13"/>
          <w:footerReference w:type="even" r:id="rId14"/>
          <w:footerReference w:type="default" r:id="rId15"/>
          <w:footnotePr>
            <w:numFmt w:val="chicago"/>
          </w:footnotePr>
          <w:endnotePr>
            <w:numFmt w:val="decimal"/>
          </w:endnotePr>
          <w:pgSz w:w="11907" w:h="16840" w:code="9"/>
          <w:pgMar w:top="2098" w:right="1304" w:bottom="1928" w:left="1304" w:header="1531" w:footer="1474" w:gutter="0"/>
          <w:pgNumType w:start="3"/>
          <w:cols w:space="720"/>
          <w:docGrid w:linePitch="299"/>
        </w:sectPr>
      </w:pPr>
    </w:p>
    <w:p w:rsidR="000D5794" w:rsidRPr="008E6454" w:rsidRDefault="000D5794" w:rsidP="0075163D">
      <w:pPr>
        <w:pStyle w:val="AcknowledgementHeading"/>
        <w:rPr>
          <w:color w:val="4F81BD"/>
        </w:rPr>
      </w:pPr>
      <w:r w:rsidRPr="008E6454">
        <w:rPr>
          <w:color w:val="4F81BD"/>
        </w:rPr>
        <w:lastRenderedPageBreak/>
        <w:t>acknowledgements</w:t>
      </w:r>
    </w:p>
    <w:p w:rsidR="008E6454" w:rsidRDefault="008E6454" w:rsidP="008E6454">
      <w:pPr>
        <w:pStyle w:val="Textodecuerpo"/>
      </w:pPr>
      <w:r w:rsidRPr="00D62DE6">
        <w:t>Th</w:t>
      </w:r>
      <w:r>
        <w:t>e</w:t>
      </w:r>
      <w:r w:rsidRPr="00D62DE6">
        <w:t xml:space="preserve"> report is the outcome of a collective effort with contributions from a team of economists from different directorates </w:t>
      </w:r>
      <w:r w:rsidRPr="00F165A5">
        <w:t xml:space="preserve">across the OECD: the Directorate for Employment, Labour and Social Affairs (ELS, </w:t>
      </w:r>
      <w:r w:rsidRPr="00A36765">
        <w:t xml:space="preserve">lead </w:t>
      </w:r>
      <w:r>
        <w:t>d</w:t>
      </w:r>
      <w:r w:rsidRPr="00A36765">
        <w:t>irectorate</w:t>
      </w:r>
      <w:r w:rsidRPr="00F165A5">
        <w:t>), the Public</w:t>
      </w:r>
      <w:r w:rsidRPr="00D62DE6">
        <w:t xml:space="preserve"> Governance and Territorial Development Directorate (GOV), the Statist</w:t>
      </w:r>
      <w:r>
        <w:t>i</w:t>
      </w:r>
      <w:r w:rsidRPr="00D62DE6">
        <w:t>cs Directorate (STD) and the Directorate for Science, Technology and Innovation (STI). The overview Chapter</w:t>
      </w:r>
      <w:r>
        <w:t> </w:t>
      </w:r>
      <w:r w:rsidRPr="00D62DE6">
        <w:t>1</w:t>
      </w:r>
      <w:r>
        <w:t xml:space="preserve"> </w:t>
      </w:r>
      <w:r w:rsidRPr="00D62DE6">
        <w:t>was written by Hervé Boulhol (</w:t>
      </w:r>
      <w:r>
        <w:t xml:space="preserve">ELS, </w:t>
      </w:r>
      <w:r w:rsidRPr="00D62DE6">
        <w:t>Social Policy Division)</w:t>
      </w:r>
      <w:r>
        <w:t>,</w:t>
      </w:r>
      <w:r w:rsidRPr="00F165A5">
        <w:t xml:space="preserve"> </w:t>
      </w:r>
      <w:r w:rsidRPr="00D62DE6">
        <w:t>draw</w:t>
      </w:r>
      <w:r>
        <w:t>ing</w:t>
      </w:r>
      <w:r w:rsidRPr="00D62DE6">
        <w:t xml:space="preserve"> on the analyses carried out in the other chapters</w:t>
      </w:r>
      <w:r>
        <w:t>,</w:t>
      </w:r>
      <w:r w:rsidRPr="00D62DE6">
        <w:t xml:space="preserve"> </w:t>
      </w:r>
      <w:r>
        <w:t>who benefited from</w:t>
      </w:r>
      <w:r w:rsidRPr="00D62DE6">
        <w:t xml:space="preserve"> </w:t>
      </w:r>
      <w:r>
        <w:t xml:space="preserve">in-depth </w:t>
      </w:r>
      <w:r w:rsidRPr="00D62DE6">
        <w:t>comments by Monika Queisser (Head of the Social Policy Division). Chapter</w:t>
      </w:r>
      <w:r>
        <w:t> </w:t>
      </w:r>
      <w:r w:rsidRPr="00D62DE6">
        <w:t>2 was co</w:t>
      </w:r>
      <w:r>
        <w:t>-</w:t>
      </w:r>
      <w:r w:rsidRPr="00D62DE6">
        <w:t xml:space="preserve">ordinated by Manuel Flores (Social Policy Division) based on </w:t>
      </w:r>
      <w:r>
        <w:t xml:space="preserve">written contributions by </w:t>
      </w:r>
      <w:r w:rsidRPr="00D62DE6">
        <w:t>Barbara Blaylock (</w:t>
      </w:r>
      <w:r>
        <w:t xml:space="preserve">ELS, </w:t>
      </w:r>
      <w:r w:rsidRPr="00D62DE6">
        <w:t>Health Division</w:t>
      </w:r>
      <w:r>
        <w:t>, currently University of Southern California</w:t>
      </w:r>
      <w:r w:rsidRPr="00D62DE6">
        <w:t>), Gaetan Lafortune (Health Division)</w:t>
      </w:r>
      <w:r>
        <w:t>,</w:t>
      </w:r>
      <w:r w:rsidRPr="00D62DE6">
        <w:t xml:space="preserve"> Karolin Killmeier (Social Policy Division)</w:t>
      </w:r>
      <w:r>
        <w:t xml:space="preserve"> and himself</w:t>
      </w:r>
      <w:r w:rsidRPr="00D62DE6">
        <w:t>. Chapter</w:t>
      </w:r>
      <w:r>
        <w:t> </w:t>
      </w:r>
      <w:r w:rsidRPr="00D62DE6">
        <w:t>3 was written by Hervé Boulhol. Chapter</w:t>
      </w:r>
      <w:r>
        <w:t> </w:t>
      </w:r>
      <w:r w:rsidRPr="00D62DE6">
        <w:t>4 was co</w:t>
      </w:r>
      <w:r>
        <w:t>-</w:t>
      </w:r>
      <w:r w:rsidRPr="00D62DE6">
        <w:t>ordinated by Christian Geppert (Social Policy Division</w:t>
      </w:r>
      <w:r>
        <w:t>)</w:t>
      </w:r>
      <w:r w:rsidRPr="00D62DE6">
        <w:t xml:space="preserve"> based on </w:t>
      </w:r>
      <w:r>
        <w:t xml:space="preserve">written contributions </w:t>
      </w:r>
      <w:r w:rsidRPr="00D62DE6">
        <w:t>by Manuel Flores</w:t>
      </w:r>
      <w:r>
        <w:t xml:space="preserve"> </w:t>
      </w:r>
      <w:r w:rsidRPr="00D62DE6">
        <w:t>(Social Policy Division</w:t>
      </w:r>
      <w:r>
        <w:t xml:space="preserve">), </w:t>
      </w:r>
      <w:r w:rsidRPr="00D62DE6">
        <w:t>Maciej Lis (Social Policy Division)</w:t>
      </w:r>
      <w:r>
        <w:t>,</w:t>
      </w:r>
      <w:r w:rsidRPr="00D62DE6">
        <w:t xml:space="preserve"> Fabrice Murtin (STD)</w:t>
      </w:r>
      <w:r>
        <w:t>,</w:t>
      </w:r>
      <w:r w:rsidRPr="00345671">
        <w:t xml:space="preserve"> </w:t>
      </w:r>
      <w:r w:rsidRPr="00D62DE6">
        <w:t>Jilli</w:t>
      </w:r>
      <w:r>
        <w:t>an</w:t>
      </w:r>
      <w:r w:rsidRPr="00D62DE6">
        <w:t xml:space="preserve"> Oderkirk (Health Division</w:t>
      </w:r>
      <w:r>
        <w:t>) and himself</w:t>
      </w:r>
      <w:r w:rsidRPr="00D62DE6">
        <w:t>. Chapter</w:t>
      </w:r>
      <w:r>
        <w:t> </w:t>
      </w:r>
      <w:r w:rsidRPr="00D62DE6">
        <w:t>5 was co</w:t>
      </w:r>
      <w:r>
        <w:t>-</w:t>
      </w:r>
      <w:r w:rsidRPr="00D62DE6">
        <w:t>ordinated by Ma</w:t>
      </w:r>
      <w:r>
        <w:t>rius</w:t>
      </w:r>
      <w:r w:rsidRPr="00D62DE6">
        <w:t xml:space="preserve"> Lüske (Social Policy Division) based on </w:t>
      </w:r>
      <w:r>
        <w:t>written contribution</w:t>
      </w:r>
      <w:r w:rsidRPr="00D62DE6">
        <w:t>s by Boele Bonthuis (Social Policy Division), Chri</w:t>
      </w:r>
      <w:r>
        <w:t>s</w:t>
      </w:r>
      <w:r w:rsidRPr="00D62DE6">
        <w:t>tian Geppert, Andrew Reilly</w:t>
      </w:r>
      <w:r>
        <w:t xml:space="preserve"> </w:t>
      </w:r>
      <w:r w:rsidRPr="00D62DE6">
        <w:t>(Social Policy Division)</w:t>
      </w:r>
      <w:r>
        <w:t>,</w:t>
      </w:r>
      <w:r w:rsidRPr="00D62DE6">
        <w:t xml:space="preserve"> Michele Rimini (STI), Anne Saint-Martin (</w:t>
      </w:r>
      <w:r>
        <w:t xml:space="preserve">ELS, </w:t>
      </w:r>
      <w:r w:rsidRPr="00D62DE6">
        <w:t>Skills and Employability Division)</w:t>
      </w:r>
      <w:r>
        <w:t>,</w:t>
      </w:r>
      <w:r w:rsidRPr="00D62DE6">
        <w:t xml:space="preserve"> Anne Sonnet (Skills and Employability Division)</w:t>
      </w:r>
      <w:r>
        <w:t xml:space="preserve"> and himself</w:t>
      </w:r>
      <w:r w:rsidRPr="00D62DE6">
        <w:t>. Chapter</w:t>
      </w:r>
      <w:r>
        <w:t> </w:t>
      </w:r>
      <w:r w:rsidRPr="00D62DE6">
        <w:t>6 was co</w:t>
      </w:r>
      <w:r>
        <w:t>-</w:t>
      </w:r>
      <w:r w:rsidRPr="00D62DE6">
        <w:t xml:space="preserve">ordinated by Boele Bonthuis based on </w:t>
      </w:r>
      <w:r>
        <w:t xml:space="preserve">written </w:t>
      </w:r>
      <w:r w:rsidRPr="00D62DE6">
        <w:t xml:space="preserve">contributions </w:t>
      </w:r>
      <w:r>
        <w:t xml:space="preserve">by </w:t>
      </w:r>
      <w:r w:rsidRPr="00D62DE6">
        <w:t xml:space="preserve">Tim Muir (Health Division), Olivier Thévenon (Social Policy Division) and Johannes Weber (GOV). Maxime Ladaique (Social Policy Division) provided extensive support for all the charts in the report. </w:t>
      </w:r>
      <w:r>
        <w:t xml:space="preserve">Other contributors to this work include: Carlotta Balestra (STD), </w:t>
      </w:r>
      <w:r w:rsidRPr="00D62DE6">
        <w:t>Thomas Blanchet (Social Policy Division</w:t>
      </w:r>
      <w:r>
        <w:t>, currently Paris School of Economics</w:t>
      </w:r>
      <w:r w:rsidRPr="00D62DE6">
        <w:t>),</w:t>
      </w:r>
      <w:r>
        <w:t xml:space="preserve"> Romina Boarini (STD), Francesca Colombo (Head of the Health Division), </w:t>
      </w:r>
      <w:r w:rsidRPr="00D62DE6">
        <w:t>Anna Cristina d’Addio (Social Policy Division, currently Unesco),</w:t>
      </w:r>
      <w:r>
        <w:t xml:space="preserve"> </w:t>
      </w:r>
      <w:r w:rsidRPr="00D62DE6">
        <w:t xml:space="preserve">Marion Devaux (Health Division), </w:t>
      </w:r>
      <w:r>
        <w:t xml:space="preserve">Sara Durrleman </w:t>
      </w:r>
      <w:r w:rsidRPr="00D62DE6">
        <w:t>(Social Policy Division</w:t>
      </w:r>
      <w:r>
        <w:t xml:space="preserve">), Marco Fongoni </w:t>
      </w:r>
      <w:r w:rsidRPr="00D62DE6">
        <w:t>(Social Policy Division</w:t>
      </w:r>
      <w:r>
        <w:t xml:space="preserve">, currently University of Strathclyde), Aleksandra Kolndrekaj </w:t>
      </w:r>
      <w:r w:rsidRPr="00D62DE6">
        <w:t>(Social Policy Division</w:t>
      </w:r>
      <w:r>
        <w:t xml:space="preserve">, currently European Foundation), Christine Le Thi (STD), Marco Mira d’Ercole (STD), Eileen Rocard </w:t>
      </w:r>
      <w:r w:rsidRPr="00D62DE6">
        <w:t>(Health Division)</w:t>
      </w:r>
      <w:r>
        <w:t xml:space="preserve"> and </w:t>
      </w:r>
      <w:r w:rsidRPr="00D62DE6">
        <w:t>Elettra Ronchi (STI)</w:t>
      </w:r>
      <w:r>
        <w:t>.</w:t>
      </w:r>
    </w:p>
    <w:p w:rsidR="008E6454" w:rsidRDefault="008E6454" w:rsidP="008E6454">
      <w:pPr>
        <w:pStyle w:val="Textodecuerpo"/>
        <w:rPr>
          <w:rFonts w:ascii="Times-Roman" w:hAnsi="Times-Roman" w:cs="Times-Roman"/>
        </w:rPr>
      </w:pPr>
      <w:r w:rsidRPr="00D62DE6">
        <w:t>Hervé Boulhol led the team and co-ordinated the project and the publication. Monika Queisser supervised the preparation of this report and provided useful comments on various drafts. Chapters</w:t>
      </w:r>
      <w:r>
        <w:t> </w:t>
      </w:r>
      <w:r w:rsidRPr="00D62DE6">
        <w:t>2 to 6 were edited by Ken Kincaid. Marlène Mohier prepared the manuscript for publication</w:t>
      </w:r>
      <w:r>
        <w:t xml:space="preserve"> </w:t>
      </w:r>
      <w:r>
        <w:rPr>
          <w:rFonts w:ascii="Times-Roman" w:hAnsi="Times-Roman" w:cs="Times-Roman"/>
        </w:rPr>
        <w:t xml:space="preserve">and Kate Lancaster (Public Affairs and Communications Directorate) contributed to the editing of the report. Christelle Cordova and Natalie Lagorce, both from the Social Policy Division, provided useful technical assistance. </w:t>
      </w:r>
    </w:p>
    <w:p w:rsidR="008E6454" w:rsidRPr="008E6454" w:rsidRDefault="008E6454" w:rsidP="008E6454">
      <w:pPr>
        <w:pStyle w:val="Textodecuerpo"/>
      </w:pPr>
      <w:r w:rsidRPr="0070110D">
        <w:t>We are very grateful to Stefano Scarpetta and Mark Pearson, Director and Deputy</w:t>
      </w:r>
      <w:r>
        <w:t xml:space="preserve"> </w:t>
      </w:r>
      <w:r w:rsidRPr="0070110D">
        <w:t>Director of Employment, Labour and Social Affairs at the OECD</w:t>
      </w:r>
      <w:r>
        <w:t xml:space="preserve">, and Mark Keese (Head of the </w:t>
      </w:r>
      <w:r w:rsidRPr="00D62DE6">
        <w:t>Skills and Employability Division</w:t>
      </w:r>
      <w:r>
        <w:t>)</w:t>
      </w:r>
      <w:r w:rsidRPr="0070110D">
        <w:t xml:space="preserve"> for their </w:t>
      </w:r>
      <w:r>
        <w:t xml:space="preserve">useful </w:t>
      </w:r>
      <w:r w:rsidRPr="0070110D">
        <w:t xml:space="preserve">comments on various versions of the report. </w:t>
      </w:r>
      <w:r w:rsidRPr="00D62DE6">
        <w:t xml:space="preserve">We </w:t>
      </w:r>
      <w:r>
        <w:t>thank</w:t>
      </w:r>
      <w:r w:rsidRPr="0070110D">
        <w:t>fully acknowledge</w:t>
      </w:r>
      <w:r>
        <w:t xml:space="preserve"> </w:t>
      </w:r>
      <w:r w:rsidRPr="0070110D">
        <w:t xml:space="preserve">the many suggestions provided </w:t>
      </w:r>
      <w:r>
        <w:t xml:space="preserve">or channelled </w:t>
      </w:r>
      <w:r w:rsidRPr="0070110D">
        <w:t xml:space="preserve">by members </w:t>
      </w:r>
      <w:r>
        <w:t xml:space="preserve">of </w:t>
      </w:r>
      <w:r w:rsidRPr="00D62DE6">
        <w:t xml:space="preserve">different OECD committees and networks, the Employment, Labour and Social Affairs Committee, the Health Committee, and the Working Party on Social </w:t>
      </w:r>
      <w:r w:rsidRPr="00D62DE6">
        <w:lastRenderedPageBreak/>
        <w:t>Policy</w:t>
      </w:r>
      <w:r>
        <w:t xml:space="preserve">, </w:t>
      </w:r>
      <w:r w:rsidRPr="0070110D">
        <w:t>as well as by</w:t>
      </w:r>
      <w:r>
        <w:t xml:space="preserve"> </w:t>
      </w:r>
      <w:r w:rsidRPr="0070110D">
        <w:t>experts of the European Commission</w:t>
      </w:r>
      <w:r>
        <w:t xml:space="preserve"> and of AARP, Inc</w:t>
      </w:r>
      <w:r w:rsidRPr="0070110D">
        <w:t>.</w:t>
      </w:r>
      <w:r>
        <w:t xml:space="preserve"> </w:t>
      </w:r>
      <w:r w:rsidRPr="0070110D">
        <w:t xml:space="preserve">We </w:t>
      </w:r>
      <w:r>
        <w:t xml:space="preserve">are </w:t>
      </w:r>
      <w:r w:rsidRPr="0070110D">
        <w:t xml:space="preserve">also </w:t>
      </w:r>
      <w:r>
        <w:t xml:space="preserve">grateful to </w:t>
      </w:r>
      <w:r w:rsidRPr="0070110D">
        <w:t xml:space="preserve">colleagues from </w:t>
      </w:r>
      <w:r>
        <w:t xml:space="preserve">the Directorate for Financial and Enterprise Affairs, </w:t>
      </w:r>
      <w:r w:rsidRPr="0070110D">
        <w:t>the</w:t>
      </w:r>
      <w:r>
        <w:t xml:space="preserve"> </w:t>
      </w:r>
      <w:r w:rsidRPr="0070110D">
        <w:t xml:space="preserve">Economics Department, the Directorate for Education and Skills, the </w:t>
      </w:r>
      <w:r>
        <w:t>Office of the Secretary-General</w:t>
      </w:r>
      <w:r w:rsidRPr="0070110D">
        <w:t xml:space="preserve"> and the Statistics Directorate</w:t>
      </w:r>
      <w:r>
        <w:t xml:space="preserve"> of the OECD for </w:t>
      </w:r>
      <w:r w:rsidRPr="0070110D">
        <w:t>the</w:t>
      </w:r>
      <w:r>
        <w:t>ir</w:t>
      </w:r>
      <w:r w:rsidRPr="0070110D">
        <w:t xml:space="preserve"> </w:t>
      </w:r>
      <w:r>
        <w:t xml:space="preserve">helpful </w:t>
      </w:r>
      <w:r w:rsidRPr="0070110D">
        <w:t xml:space="preserve">comments and suggestions. </w:t>
      </w:r>
      <w:r>
        <w:t xml:space="preserve">The report also benefited from the work carried out for the project “Identifying ways of raising effective retirement </w:t>
      </w:r>
      <w:r w:rsidRPr="00856B3D">
        <w:t xml:space="preserve">ages” </w:t>
      </w:r>
      <w:r w:rsidR="00856B3D" w:rsidRPr="00856B3D">
        <w:t>and related work on pension</w:t>
      </w:r>
      <w:r w:rsidR="00856B3D">
        <w:rPr>
          <w:color w:val="1F497D"/>
        </w:rPr>
        <w:t xml:space="preserve"> </w:t>
      </w:r>
      <w:r w:rsidR="00856B3D" w:rsidRPr="00454289">
        <w:t>indicators</w:t>
      </w:r>
      <w:r w:rsidR="00856B3D">
        <w:rPr>
          <w:color w:val="1F497D"/>
        </w:rPr>
        <w:t xml:space="preserve"> </w:t>
      </w:r>
      <w:r>
        <w:t>financed by the European Commission (EC) and from discussions with various EC</w:t>
      </w:r>
      <w:r w:rsidR="00856B3D">
        <w:t> </w:t>
      </w:r>
      <w:r>
        <w:t>officials, which have helped shape our thinking about old-age inequalities.</w:t>
      </w:r>
    </w:p>
    <w:p w:rsidR="000D5794" w:rsidRDefault="000D5794" w:rsidP="0075163D">
      <w:pPr>
        <w:pStyle w:val="TableofContentsHeading"/>
        <w:sectPr w:rsidR="000D5794" w:rsidSect="00B3718A">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2098" w:right="1304" w:bottom="1928" w:left="1304" w:header="1531" w:footer="1474" w:gutter="0"/>
          <w:cols w:space="720"/>
          <w:docGrid w:linePitch="299"/>
        </w:sectPr>
      </w:pPr>
    </w:p>
    <w:p w:rsidR="000D5794" w:rsidRPr="009E485D" w:rsidRDefault="000D5794" w:rsidP="0075163D">
      <w:pPr>
        <w:pStyle w:val="TableofContentsHeading"/>
        <w:rPr>
          <w:color w:val="4F81BD"/>
        </w:rPr>
      </w:pPr>
      <w:r w:rsidRPr="009E485D">
        <w:rPr>
          <w:color w:val="4F81BD"/>
        </w:rPr>
        <w:lastRenderedPageBreak/>
        <w:t>Table of contents</w:t>
      </w:r>
    </w:p>
    <w:p w:rsidR="00A715AA" w:rsidRPr="00A715AA" w:rsidRDefault="00944562" w:rsidP="00A715AA">
      <w:pPr>
        <w:pStyle w:val="TDC1"/>
        <w:tabs>
          <w:tab w:val="clear" w:pos="6803"/>
          <w:tab w:val="right" w:leader="dot" w:pos="8789"/>
        </w:tabs>
        <w:rPr>
          <w:rStyle w:val="Hipervnculo"/>
          <w:b w:val="0"/>
          <w:noProof/>
          <w:color w:val="auto"/>
        </w:rPr>
      </w:pPr>
      <w:r>
        <w:fldChar w:fldCharType="begin"/>
      </w:r>
      <w:r>
        <w:instrText xml:space="preserve"> TOC \o "1-2" \h \z \u </w:instrText>
      </w:r>
      <w:r>
        <w:fldChar w:fldCharType="separate"/>
      </w:r>
      <w:hyperlink w:anchor="_Toc491856759" w:history="1">
        <w:r w:rsidR="00A715AA" w:rsidRPr="00A715AA">
          <w:rPr>
            <w:rStyle w:val="Hipervnculo"/>
            <w:b w:val="0"/>
            <w:noProof/>
            <w:color w:val="auto"/>
          </w:rPr>
          <w:t>Acronyms and conventional signs</w:t>
        </w:r>
        <w:r w:rsidR="00A715AA" w:rsidRPr="00A715AA">
          <w:rPr>
            <w:b w:val="0"/>
            <w:noProof/>
            <w:webHidden/>
          </w:rPr>
          <w:tab/>
        </w:r>
        <w:r w:rsidR="00A715AA" w:rsidRPr="00A715AA">
          <w:rPr>
            <w:b w:val="0"/>
            <w:noProof/>
            <w:webHidden/>
          </w:rPr>
          <w:fldChar w:fldCharType="begin"/>
        </w:r>
        <w:r w:rsidR="00A715AA" w:rsidRPr="00A715AA">
          <w:rPr>
            <w:b w:val="0"/>
            <w:noProof/>
            <w:webHidden/>
          </w:rPr>
          <w:instrText xml:space="preserve"> PAGEREF _Toc491856759 \h </w:instrText>
        </w:r>
        <w:r w:rsidR="00A715AA" w:rsidRPr="00A715AA">
          <w:rPr>
            <w:b w:val="0"/>
            <w:noProof/>
            <w:webHidden/>
          </w:rPr>
        </w:r>
        <w:r w:rsidR="00A715AA" w:rsidRPr="00A715AA">
          <w:rPr>
            <w:b w:val="0"/>
            <w:noProof/>
            <w:webHidden/>
          </w:rPr>
          <w:fldChar w:fldCharType="separate"/>
        </w:r>
        <w:r w:rsidR="00235C4A">
          <w:rPr>
            <w:b w:val="0"/>
            <w:noProof/>
            <w:webHidden/>
          </w:rPr>
          <w:t>13</w:t>
        </w:r>
        <w:r w:rsidR="00A715AA" w:rsidRPr="00A715AA">
          <w:rPr>
            <w:b w:val="0"/>
            <w:noProof/>
            <w:webHidden/>
          </w:rPr>
          <w:fldChar w:fldCharType="end"/>
        </w:r>
      </w:hyperlink>
    </w:p>
    <w:p w:rsidR="00A715AA" w:rsidRPr="00A715AA" w:rsidRDefault="00A715AA" w:rsidP="00A715AA">
      <w:pPr>
        <w:pStyle w:val="TDC1"/>
        <w:tabs>
          <w:tab w:val="clear" w:pos="6803"/>
          <w:tab w:val="right" w:leader="dot" w:pos="8789"/>
        </w:tabs>
        <w:rPr>
          <w:rStyle w:val="Hipervnculo"/>
          <w:b w:val="0"/>
          <w:noProof/>
          <w:color w:val="auto"/>
        </w:rPr>
      </w:pPr>
      <w:r w:rsidRPr="00A715AA">
        <w:rPr>
          <w:rStyle w:val="Hipervnculo"/>
          <w:b w:val="0"/>
          <w:noProof/>
          <w:color w:val="auto"/>
        </w:rPr>
        <w:t xml:space="preserve">Executive summary </w:t>
      </w:r>
      <w:r w:rsidRPr="00A715AA">
        <w:rPr>
          <w:rStyle w:val="Hipervnculo"/>
          <w:b w:val="0"/>
          <w:noProof/>
          <w:color w:val="auto"/>
        </w:rPr>
        <w:tab/>
      </w:r>
      <w:r>
        <w:rPr>
          <w:rStyle w:val="Hipervnculo"/>
          <w:b w:val="0"/>
          <w:noProof/>
          <w:color w:val="auto"/>
        </w:rPr>
        <w:t>15</w:t>
      </w:r>
    </w:p>
    <w:p w:rsidR="00A715AA" w:rsidRDefault="00315185" w:rsidP="00A715AA">
      <w:pPr>
        <w:pStyle w:val="TDC1"/>
        <w:tabs>
          <w:tab w:val="clear" w:pos="6803"/>
          <w:tab w:val="right" w:leader="dot" w:pos="8789"/>
        </w:tabs>
        <w:rPr>
          <w:rFonts w:asciiTheme="minorHAnsi" w:eastAsiaTheme="minorEastAsia" w:hAnsiTheme="minorHAnsi" w:cstheme="minorBidi"/>
          <w:b w:val="0"/>
          <w:noProof/>
          <w:lang w:eastAsia="en-GB"/>
        </w:rPr>
      </w:pPr>
      <w:hyperlink w:anchor="_Toc491856765" w:history="1">
        <w:r w:rsidR="00A715AA" w:rsidRPr="00A715AA">
          <w:rPr>
            <w:rStyle w:val="Hipervnculo"/>
            <w:i/>
            <w:noProof/>
            <w:color w:val="4F81BD"/>
          </w:rPr>
          <w:t>Chapter 1.</w:t>
        </w:r>
        <w:r w:rsidR="00A715AA" w:rsidRPr="00A715AA">
          <w:rPr>
            <w:rStyle w:val="Hipervnculo"/>
            <w:noProof/>
            <w:color w:val="4F81BD"/>
          </w:rPr>
          <w:t xml:space="preserve"> Preventing ageing unequally</w:t>
        </w:r>
        <w:r w:rsidR="00A715AA" w:rsidRPr="00A715AA">
          <w:rPr>
            <w:b w:val="0"/>
            <w:noProof/>
            <w:webHidden/>
          </w:rPr>
          <w:tab/>
        </w:r>
        <w:r w:rsidR="00A715AA" w:rsidRPr="00A715AA">
          <w:rPr>
            <w:b w:val="0"/>
            <w:noProof/>
            <w:webHidden/>
          </w:rPr>
          <w:fldChar w:fldCharType="begin"/>
        </w:r>
        <w:r w:rsidR="00A715AA" w:rsidRPr="00A715AA">
          <w:rPr>
            <w:b w:val="0"/>
            <w:noProof/>
            <w:webHidden/>
          </w:rPr>
          <w:instrText xml:space="preserve"> PAGEREF _Toc491856765 \h </w:instrText>
        </w:r>
        <w:r w:rsidR="00A715AA" w:rsidRPr="00A715AA">
          <w:rPr>
            <w:b w:val="0"/>
            <w:noProof/>
            <w:webHidden/>
          </w:rPr>
        </w:r>
        <w:r w:rsidR="00A715AA" w:rsidRPr="00A715AA">
          <w:rPr>
            <w:b w:val="0"/>
            <w:noProof/>
            <w:webHidden/>
          </w:rPr>
          <w:fldChar w:fldCharType="separate"/>
        </w:r>
        <w:r w:rsidR="00235C4A">
          <w:rPr>
            <w:b w:val="0"/>
            <w:noProof/>
            <w:webHidden/>
          </w:rPr>
          <w:t>19</w:t>
        </w:r>
        <w:r w:rsidR="00A715AA" w:rsidRPr="00A715AA">
          <w:rPr>
            <w:b w:val="0"/>
            <w:noProof/>
            <w:webHidden/>
          </w:rPr>
          <w:fldChar w:fldCharType="end"/>
        </w:r>
      </w:hyperlink>
    </w:p>
    <w:p w:rsidR="00A715AA" w:rsidRPr="00F377F6" w:rsidRDefault="00315185" w:rsidP="00A715AA">
      <w:pPr>
        <w:pStyle w:val="TDC2"/>
        <w:tabs>
          <w:tab w:val="clear" w:pos="6803"/>
          <w:tab w:val="left" w:pos="851"/>
          <w:tab w:val="right" w:leader="dot" w:pos="8789"/>
        </w:tabs>
        <w:ind w:left="567" w:hanging="369"/>
        <w:jc w:val="left"/>
        <w:rPr>
          <w:rStyle w:val="Hipervnculo"/>
          <w:noProof/>
          <w:color w:val="auto"/>
        </w:rPr>
      </w:pPr>
      <w:hyperlink w:anchor="_Toc491856766" w:history="1">
        <w:r w:rsidR="00A715AA" w:rsidRPr="00A80193">
          <w:rPr>
            <w:rStyle w:val="Hipervnculo"/>
            <w:noProof/>
          </w:rPr>
          <w:t>1.</w:t>
        </w:r>
        <w:r w:rsidR="00A715AA" w:rsidRPr="00A715AA">
          <w:rPr>
            <w:rStyle w:val="Hipervnculo"/>
            <w:noProof/>
          </w:rPr>
          <w:tab/>
        </w:r>
        <w:r w:rsidR="00A715AA" w:rsidRPr="00A80193">
          <w:rPr>
            <w:rStyle w:val="Hipervnculo"/>
            <w:noProof/>
          </w:rPr>
          <w:t>Preventing ageing unequally – Why policy makers should care</w:t>
        </w:r>
        <w:r w:rsidR="00A715AA" w:rsidRPr="00A715AA">
          <w:rPr>
            <w:rStyle w:val="Hipervnculo"/>
            <w:noProof/>
            <w:webHidden/>
          </w:rPr>
          <w:tab/>
        </w:r>
        <w:r w:rsidR="00A715AA" w:rsidRPr="00A715AA">
          <w:rPr>
            <w:rStyle w:val="Hipervnculo"/>
            <w:noProof/>
            <w:webHidden/>
          </w:rPr>
          <w:fldChar w:fldCharType="begin"/>
        </w:r>
        <w:r w:rsidR="00A715AA" w:rsidRPr="00A715AA">
          <w:rPr>
            <w:rStyle w:val="Hipervnculo"/>
            <w:noProof/>
            <w:webHidden/>
          </w:rPr>
          <w:instrText xml:space="preserve"> PAGEREF _Toc491856766 \h </w:instrText>
        </w:r>
        <w:r w:rsidR="00A715AA" w:rsidRPr="00A715AA">
          <w:rPr>
            <w:rStyle w:val="Hipervnculo"/>
            <w:noProof/>
            <w:webHidden/>
          </w:rPr>
        </w:r>
        <w:r w:rsidR="00A715AA" w:rsidRPr="00A715AA">
          <w:rPr>
            <w:rStyle w:val="Hipervnculo"/>
            <w:noProof/>
            <w:webHidden/>
          </w:rPr>
          <w:fldChar w:fldCharType="separate"/>
        </w:r>
        <w:r w:rsidR="00235C4A">
          <w:rPr>
            <w:rStyle w:val="Hipervnculo"/>
            <w:noProof/>
            <w:webHidden/>
          </w:rPr>
          <w:t>20</w:t>
        </w:r>
        <w:r w:rsidR="00A715AA" w:rsidRPr="00A715AA">
          <w:rPr>
            <w:rStyle w:val="Hipervnculo"/>
            <w:noProof/>
            <w:webHidden/>
          </w:rPr>
          <w:fldChar w:fldCharType="end"/>
        </w:r>
      </w:hyperlink>
    </w:p>
    <w:p w:rsidR="00A715AA" w:rsidRDefault="00315185" w:rsidP="00A715AA">
      <w:pPr>
        <w:pStyle w:val="TDC2"/>
        <w:tabs>
          <w:tab w:val="clear" w:pos="6803"/>
          <w:tab w:val="left" w:pos="851"/>
          <w:tab w:val="right" w:leader="dot" w:pos="8789"/>
        </w:tabs>
        <w:ind w:left="567" w:hanging="369"/>
        <w:jc w:val="left"/>
        <w:rPr>
          <w:rFonts w:asciiTheme="minorHAnsi" w:eastAsiaTheme="minorEastAsia" w:hAnsiTheme="minorHAnsi" w:cstheme="minorBidi"/>
          <w:noProof/>
          <w:lang w:eastAsia="en-GB"/>
        </w:rPr>
      </w:pPr>
      <w:hyperlink w:anchor="_Toc491856767" w:history="1">
        <w:r w:rsidR="00A715AA" w:rsidRPr="00A80193">
          <w:rPr>
            <w:rStyle w:val="Hipervnculo"/>
            <w:noProof/>
          </w:rPr>
          <w:t>2.</w:t>
        </w:r>
        <w:r w:rsidR="00A715AA">
          <w:rPr>
            <w:rFonts w:asciiTheme="minorHAnsi" w:eastAsiaTheme="minorEastAsia" w:hAnsiTheme="minorHAnsi" w:cstheme="minorBidi"/>
            <w:noProof/>
            <w:lang w:eastAsia="en-GB"/>
          </w:rPr>
          <w:tab/>
        </w:r>
        <w:r w:rsidR="00A715AA" w:rsidRPr="00A80193">
          <w:rPr>
            <w:rStyle w:val="Hipervnculo"/>
            <w:noProof/>
          </w:rPr>
          <w:t>How disadvantage becomes entrenched: Compounding inequalities</w:t>
        </w:r>
        <w:r w:rsidR="00A715AA">
          <w:rPr>
            <w:rStyle w:val="Hipervnculo"/>
            <w:noProof/>
          </w:rPr>
          <w:br/>
        </w:r>
        <w:r w:rsidR="00A715AA" w:rsidRPr="00A80193">
          <w:rPr>
            <w:rStyle w:val="Hipervnculo"/>
            <w:noProof/>
          </w:rPr>
          <w:t>over the life course</w:t>
        </w:r>
        <w:r w:rsidR="00A715AA">
          <w:rPr>
            <w:noProof/>
            <w:webHidden/>
          </w:rPr>
          <w:tab/>
        </w:r>
        <w:r w:rsidR="00A715AA">
          <w:rPr>
            <w:noProof/>
            <w:webHidden/>
          </w:rPr>
          <w:fldChar w:fldCharType="begin"/>
        </w:r>
        <w:r w:rsidR="00A715AA">
          <w:rPr>
            <w:noProof/>
            <w:webHidden/>
          </w:rPr>
          <w:instrText xml:space="preserve"> PAGEREF _Toc491856767 \h </w:instrText>
        </w:r>
        <w:r w:rsidR="00A715AA">
          <w:rPr>
            <w:noProof/>
            <w:webHidden/>
          </w:rPr>
        </w:r>
        <w:r w:rsidR="00A715AA">
          <w:rPr>
            <w:noProof/>
            <w:webHidden/>
          </w:rPr>
          <w:fldChar w:fldCharType="separate"/>
        </w:r>
        <w:r w:rsidR="00235C4A">
          <w:rPr>
            <w:noProof/>
            <w:webHidden/>
          </w:rPr>
          <w:t>29</w:t>
        </w:r>
        <w:r w:rsidR="00A715AA">
          <w:rPr>
            <w:noProof/>
            <w:webHidden/>
          </w:rPr>
          <w:fldChar w:fldCharType="end"/>
        </w:r>
      </w:hyperlink>
    </w:p>
    <w:p w:rsidR="00A715AA" w:rsidRPr="00F377F6" w:rsidRDefault="00315185" w:rsidP="00A715AA">
      <w:pPr>
        <w:pStyle w:val="TDC2"/>
        <w:tabs>
          <w:tab w:val="clear" w:pos="6803"/>
          <w:tab w:val="left" w:pos="851"/>
          <w:tab w:val="right" w:leader="dot" w:pos="8789"/>
        </w:tabs>
        <w:ind w:left="567" w:hanging="369"/>
        <w:jc w:val="left"/>
        <w:rPr>
          <w:rStyle w:val="Hipervnculo"/>
          <w:noProof/>
          <w:color w:val="auto"/>
        </w:rPr>
      </w:pPr>
      <w:hyperlink w:anchor="_Toc491856768" w:history="1">
        <w:r w:rsidR="00A715AA" w:rsidRPr="00A80193">
          <w:rPr>
            <w:rStyle w:val="Hipervnculo"/>
            <w:noProof/>
          </w:rPr>
          <w:t>3.</w:t>
        </w:r>
        <w:r w:rsidR="00A715AA" w:rsidRPr="00A715AA">
          <w:rPr>
            <w:rStyle w:val="Hipervnculo"/>
            <w:noProof/>
          </w:rPr>
          <w:tab/>
        </w:r>
        <w:r w:rsidR="00A715AA" w:rsidRPr="00A80193">
          <w:rPr>
            <w:rStyle w:val="Hipervnculo"/>
            <w:noProof/>
          </w:rPr>
          <w:t>When I was your age: How employment and income patterns are changing</w:t>
        </w:r>
        <w:r w:rsidR="00A715AA">
          <w:rPr>
            <w:rStyle w:val="Hipervnculo"/>
            <w:noProof/>
          </w:rPr>
          <w:br/>
        </w:r>
        <w:r w:rsidR="00A715AA" w:rsidRPr="00A80193">
          <w:rPr>
            <w:rStyle w:val="Hipervnculo"/>
            <w:noProof/>
          </w:rPr>
          <w:t>across generations</w:t>
        </w:r>
        <w:r w:rsidR="00A715AA" w:rsidRPr="00A715AA">
          <w:rPr>
            <w:rStyle w:val="Hipervnculo"/>
            <w:noProof/>
            <w:webHidden/>
          </w:rPr>
          <w:tab/>
        </w:r>
        <w:r w:rsidR="00A715AA" w:rsidRPr="00A715AA">
          <w:rPr>
            <w:rStyle w:val="Hipervnculo"/>
            <w:noProof/>
            <w:webHidden/>
          </w:rPr>
          <w:fldChar w:fldCharType="begin"/>
        </w:r>
        <w:r w:rsidR="00A715AA" w:rsidRPr="00A715AA">
          <w:rPr>
            <w:rStyle w:val="Hipervnculo"/>
            <w:noProof/>
            <w:webHidden/>
          </w:rPr>
          <w:instrText xml:space="preserve"> PAGEREF _Toc491856768 \h </w:instrText>
        </w:r>
        <w:r w:rsidR="00A715AA" w:rsidRPr="00A715AA">
          <w:rPr>
            <w:rStyle w:val="Hipervnculo"/>
            <w:noProof/>
            <w:webHidden/>
          </w:rPr>
        </w:r>
        <w:r w:rsidR="00A715AA" w:rsidRPr="00A715AA">
          <w:rPr>
            <w:rStyle w:val="Hipervnculo"/>
            <w:noProof/>
            <w:webHidden/>
          </w:rPr>
          <w:fldChar w:fldCharType="separate"/>
        </w:r>
        <w:r w:rsidR="00235C4A">
          <w:rPr>
            <w:rStyle w:val="Hipervnculo"/>
            <w:noProof/>
            <w:webHidden/>
          </w:rPr>
          <w:t>34</w:t>
        </w:r>
        <w:r w:rsidR="00A715AA" w:rsidRPr="00A715AA">
          <w:rPr>
            <w:rStyle w:val="Hipervnculo"/>
            <w:noProof/>
            <w:webHidden/>
          </w:rPr>
          <w:fldChar w:fldCharType="end"/>
        </w:r>
      </w:hyperlink>
    </w:p>
    <w:p w:rsidR="00A715AA" w:rsidRPr="00A715AA" w:rsidRDefault="00315185" w:rsidP="00A715AA">
      <w:pPr>
        <w:pStyle w:val="TDC2"/>
        <w:tabs>
          <w:tab w:val="clear" w:pos="6803"/>
          <w:tab w:val="left" w:pos="851"/>
          <w:tab w:val="right" w:leader="dot" w:pos="8789"/>
        </w:tabs>
        <w:ind w:left="567" w:hanging="369"/>
        <w:jc w:val="left"/>
        <w:rPr>
          <w:rStyle w:val="Hipervnculo"/>
          <w:noProof/>
        </w:rPr>
      </w:pPr>
      <w:hyperlink w:anchor="_Toc491856769" w:history="1">
        <w:r w:rsidR="00A715AA" w:rsidRPr="00A80193">
          <w:rPr>
            <w:rStyle w:val="Hipervnculo"/>
            <w:noProof/>
          </w:rPr>
          <w:t>4.</w:t>
        </w:r>
        <w:r w:rsidR="00A715AA" w:rsidRPr="00A715AA">
          <w:rPr>
            <w:rStyle w:val="Hipervnculo"/>
            <w:noProof/>
          </w:rPr>
          <w:tab/>
        </w:r>
        <w:r w:rsidR="00A715AA" w:rsidRPr="00A80193">
          <w:rPr>
            <w:rStyle w:val="Hipervnculo"/>
            <w:noProof/>
          </w:rPr>
          <w:t>Equal in old age? Income, living standards and well-being in retirement</w:t>
        </w:r>
        <w:r w:rsidR="00A715AA" w:rsidRPr="00A715AA">
          <w:rPr>
            <w:rStyle w:val="Hipervnculo"/>
            <w:noProof/>
            <w:webHidden/>
          </w:rPr>
          <w:tab/>
        </w:r>
        <w:r w:rsidR="00A715AA" w:rsidRPr="00A715AA">
          <w:rPr>
            <w:rStyle w:val="Hipervnculo"/>
            <w:noProof/>
            <w:webHidden/>
          </w:rPr>
          <w:fldChar w:fldCharType="begin"/>
        </w:r>
        <w:r w:rsidR="00A715AA" w:rsidRPr="00A715AA">
          <w:rPr>
            <w:rStyle w:val="Hipervnculo"/>
            <w:noProof/>
            <w:webHidden/>
          </w:rPr>
          <w:instrText xml:space="preserve"> PAGEREF _Toc491856769 \h </w:instrText>
        </w:r>
        <w:r w:rsidR="00A715AA" w:rsidRPr="00A715AA">
          <w:rPr>
            <w:rStyle w:val="Hipervnculo"/>
            <w:noProof/>
            <w:webHidden/>
          </w:rPr>
        </w:r>
        <w:r w:rsidR="00A715AA" w:rsidRPr="00A715AA">
          <w:rPr>
            <w:rStyle w:val="Hipervnculo"/>
            <w:noProof/>
            <w:webHidden/>
          </w:rPr>
          <w:fldChar w:fldCharType="separate"/>
        </w:r>
        <w:r w:rsidR="00235C4A">
          <w:rPr>
            <w:rStyle w:val="Hipervnculo"/>
            <w:noProof/>
            <w:webHidden/>
          </w:rPr>
          <w:t>38</w:t>
        </w:r>
        <w:r w:rsidR="00A715AA" w:rsidRPr="00A715AA">
          <w:rPr>
            <w:rStyle w:val="Hipervnculo"/>
            <w:noProof/>
            <w:webHidden/>
          </w:rPr>
          <w:fldChar w:fldCharType="end"/>
        </w:r>
      </w:hyperlink>
    </w:p>
    <w:p w:rsidR="00A715AA" w:rsidRPr="00A715AA" w:rsidRDefault="00315185" w:rsidP="00A715AA">
      <w:pPr>
        <w:pStyle w:val="TDC2"/>
        <w:tabs>
          <w:tab w:val="clear" w:pos="6803"/>
          <w:tab w:val="left" w:pos="851"/>
          <w:tab w:val="right" w:leader="dot" w:pos="8789"/>
        </w:tabs>
        <w:ind w:left="567" w:hanging="369"/>
        <w:jc w:val="left"/>
        <w:rPr>
          <w:rStyle w:val="Hipervnculo"/>
          <w:noProof/>
        </w:rPr>
      </w:pPr>
      <w:hyperlink w:anchor="_Toc491856770" w:history="1">
        <w:r w:rsidR="00A715AA" w:rsidRPr="00A80193">
          <w:rPr>
            <w:rStyle w:val="Hipervnculo"/>
            <w:noProof/>
          </w:rPr>
          <w:t>5.</w:t>
        </w:r>
        <w:r w:rsidR="00A715AA" w:rsidRPr="00A715AA">
          <w:rPr>
            <w:rStyle w:val="Hipervnculo"/>
            <w:noProof/>
          </w:rPr>
          <w:tab/>
        </w:r>
        <w:r w:rsidR="00A715AA" w:rsidRPr="00A80193">
          <w:rPr>
            <w:rStyle w:val="Hipervnculo"/>
            <w:noProof/>
          </w:rPr>
          <w:t>Policy implications: Preventing, mitigating, coping</w:t>
        </w:r>
        <w:r w:rsidR="00A715AA" w:rsidRPr="00A715AA">
          <w:rPr>
            <w:rStyle w:val="Hipervnculo"/>
            <w:noProof/>
            <w:webHidden/>
          </w:rPr>
          <w:tab/>
        </w:r>
        <w:r w:rsidR="00A715AA" w:rsidRPr="00A715AA">
          <w:rPr>
            <w:rStyle w:val="Hipervnculo"/>
            <w:noProof/>
            <w:webHidden/>
          </w:rPr>
          <w:fldChar w:fldCharType="begin"/>
        </w:r>
        <w:r w:rsidR="00A715AA" w:rsidRPr="00A715AA">
          <w:rPr>
            <w:rStyle w:val="Hipervnculo"/>
            <w:noProof/>
            <w:webHidden/>
          </w:rPr>
          <w:instrText xml:space="preserve"> PAGEREF _Toc491856770 \h </w:instrText>
        </w:r>
        <w:r w:rsidR="00A715AA" w:rsidRPr="00A715AA">
          <w:rPr>
            <w:rStyle w:val="Hipervnculo"/>
            <w:noProof/>
            <w:webHidden/>
          </w:rPr>
        </w:r>
        <w:r w:rsidR="00A715AA" w:rsidRPr="00A715AA">
          <w:rPr>
            <w:rStyle w:val="Hipervnculo"/>
            <w:noProof/>
            <w:webHidden/>
          </w:rPr>
          <w:fldChar w:fldCharType="separate"/>
        </w:r>
        <w:r w:rsidR="00235C4A">
          <w:rPr>
            <w:rStyle w:val="Hipervnculo"/>
            <w:noProof/>
            <w:webHidden/>
          </w:rPr>
          <w:t>47</w:t>
        </w:r>
        <w:r w:rsidR="00A715AA" w:rsidRPr="00A715AA">
          <w:rPr>
            <w:rStyle w:val="Hipervnculo"/>
            <w:noProof/>
            <w:webHidden/>
          </w:rPr>
          <w:fldChar w:fldCharType="end"/>
        </w:r>
      </w:hyperlink>
    </w:p>
    <w:p w:rsidR="00A715AA" w:rsidRPr="00A715AA" w:rsidRDefault="00A715AA" w:rsidP="00A715AA">
      <w:pPr>
        <w:pStyle w:val="TDC2"/>
        <w:tabs>
          <w:tab w:val="clear" w:pos="6803"/>
          <w:tab w:val="left" w:pos="567"/>
          <w:tab w:val="right" w:leader="dot" w:pos="8789"/>
        </w:tabs>
        <w:ind w:left="567" w:hanging="369"/>
        <w:jc w:val="left"/>
        <w:rPr>
          <w:rStyle w:val="Hipervnculo"/>
          <w:noProof/>
          <w:color w:val="auto"/>
        </w:rPr>
      </w:pPr>
      <w:r w:rsidRPr="00A715AA">
        <w:rPr>
          <w:rStyle w:val="Hipervnculo"/>
          <w:noProof/>
          <w:color w:val="auto"/>
        </w:rPr>
        <w:t>Notes</w:t>
      </w:r>
      <w:r>
        <w:rPr>
          <w:rStyle w:val="Hipervnculo"/>
          <w:noProof/>
          <w:color w:val="auto"/>
        </w:rPr>
        <w:t xml:space="preserve"> </w:t>
      </w:r>
      <w:r>
        <w:rPr>
          <w:rStyle w:val="Hipervnculo"/>
          <w:noProof/>
          <w:color w:val="auto"/>
        </w:rPr>
        <w:tab/>
        <w:t>64</w:t>
      </w:r>
    </w:p>
    <w:p w:rsidR="00A715AA" w:rsidRPr="00A715AA" w:rsidRDefault="00315185" w:rsidP="00A715AA">
      <w:pPr>
        <w:pStyle w:val="TDC2"/>
        <w:tabs>
          <w:tab w:val="clear" w:pos="6803"/>
          <w:tab w:val="left" w:pos="851"/>
          <w:tab w:val="right" w:leader="dot" w:pos="8789"/>
        </w:tabs>
        <w:ind w:left="567" w:hanging="369"/>
        <w:jc w:val="left"/>
        <w:rPr>
          <w:rStyle w:val="Hipervnculo"/>
          <w:noProof/>
        </w:rPr>
      </w:pPr>
      <w:hyperlink w:anchor="_Toc491856771" w:history="1">
        <w:r w:rsidR="00A715AA">
          <w:rPr>
            <w:rStyle w:val="Hipervnculo"/>
            <w:noProof/>
          </w:rPr>
          <w:t>R</w:t>
        </w:r>
        <w:r w:rsidR="00A715AA" w:rsidRPr="00A80193">
          <w:rPr>
            <w:rStyle w:val="Hipervnculo"/>
            <w:noProof/>
          </w:rPr>
          <w:t>eferences</w:t>
        </w:r>
        <w:r w:rsidR="00A715AA" w:rsidRPr="00A715AA">
          <w:rPr>
            <w:rStyle w:val="Hipervnculo"/>
            <w:noProof/>
            <w:webHidden/>
          </w:rPr>
          <w:tab/>
        </w:r>
        <w:r w:rsidR="00A715AA">
          <w:rPr>
            <w:rStyle w:val="Hipervnculo"/>
            <w:noProof/>
            <w:webHidden/>
          </w:rPr>
          <w:t>67</w:t>
        </w:r>
      </w:hyperlink>
    </w:p>
    <w:p w:rsidR="00A715AA" w:rsidRDefault="00315185" w:rsidP="00A715AA">
      <w:pPr>
        <w:pStyle w:val="TDC1"/>
        <w:tabs>
          <w:tab w:val="clear" w:pos="6803"/>
          <w:tab w:val="right" w:leader="dot" w:pos="8789"/>
        </w:tabs>
        <w:rPr>
          <w:rFonts w:asciiTheme="minorHAnsi" w:eastAsiaTheme="minorEastAsia" w:hAnsiTheme="minorHAnsi" w:cstheme="minorBidi"/>
          <w:b w:val="0"/>
          <w:noProof/>
          <w:lang w:eastAsia="en-GB"/>
        </w:rPr>
      </w:pPr>
      <w:hyperlink w:anchor="_Toc491856772" w:history="1">
        <w:r w:rsidR="00A715AA" w:rsidRPr="00A715AA">
          <w:rPr>
            <w:rStyle w:val="Hipervnculo"/>
            <w:i/>
            <w:noProof/>
            <w:color w:val="4F81BD"/>
          </w:rPr>
          <w:t xml:space="preserve">Chapter 2. </w:t>
        </w:r>
        <w:r w:rsidR="00A715AA" w:rsidRPr="00A715AA">
          <w:rPr>
            <w:rStyle w:val="Hipervnculo"/>
            <w:noProof/>
            <w:color w:val="4F81BD"/>
          </w:rPr>
          <w:t>How inequality compounds over the life course</w:t>
        </w:r>
        <w:r w:rsidR="00A715AA" w:rsidRPr="00A715AA">
          <w:rPr>
            <w:b w:val="0"/>
            <w:noProof/>
            <w:webHidden/>
          </w:rPr>
          <w:tab/>
        </w:r>
        <w:r w:rsidR="00A715AA" w:rsidRPr="00A715AA">
          <w:rPr>
            <w:b w:val="0"/>
            <w:noProof/>
            <w:webHidden/>
          </w:rPr>
          <w:fldChar w:fldCharType="begin"/>
        </w:r>
        <w:r w:rsidR="00A715AA" w:rsidRPr="00A715AA">
          <w:rPr>
            <w:b w:val="0"/>
            <w:noProof/>
            <w:webHidden/>
          </w:rPr>
          <w:instrText xml:space="preserve"> PAGEREF _Toc491856772 \h </w:instrText>
        </w:r>
        <w:r w:rsidR="00A715AA" w:rsidRPr="00A715AA">
          <w:rPr>
            <w:b w:val="0"/>
            <w:noProof/>
            <w:webHidden/>
          </w:rPr>
        </w:r>
        <w:r w:rsidR="00A715AA" w:rsidRPr="00A715AA">
          <w:rPr>
            <w:b w:val="0"/>
            <w:noProof/>
            <w:webHidden/>
          </w:rPr>
          <w:fldChar w:fldCharType="separate"/>
        </w:r>
        <w:r w:rsidR="00235C4A">
          <w:rPr>
            <w:b w:val="0"/>
            <w:noProof/>
            <w:webHidden/>
          </w:rPr>
          <w:t>73</w:t>
        </w:r>
        <w:r w:rsidR="00A715AA" w:rsidRPr="00A715AA">
          <w:rPr>
            <w:b w:val="0"/>
            <w:noProof/>
            <w:webHidden/>
          </w:rPr>
          <w:fldChar w:fldCharType="end"/>
        </w:r>
      </w:hyperlink>
    </w:p>
    <w:p w:rsidR="00A715AA" w:rsidRDefault="00315185" w:rsidP="00A715AA">
      <w:pPr>
        <w:pStyle w:val="TDC2"/>
        <w:tabs>
          <w:tab w:val="clear" w:pos="6803"/>
          <w:tab w:val="right" w:leader="dot" w:pos="8789"/>
        </w:tabs>
        <w:rPr>
          <w:rFonts w:asciiTheme="minorHAnsi" w:eastAsiaTheme="minorEastAsia" w:hAnsiTheme="minorHAnsi" w:cstheme="minorBidi"/>
          <w:noProof/>
          <w:lang w:eastAsia="en-GB"/>
        </w:rPr>
      </w:pPr>
      <w:hyperlink w:anchor="_Toc491856773" w:history="1">
        <w:r w:rsidR="00A715AA" w:rsidRPr="00A80193">
          <w:rPr>
            <w:rStyle w:val="Hipervnculo"/>
            <w:noProof/>
          </w:rPr>
          <w:t>Introduction</w:t>
        </w:r>
        <w:r w:rsidR="00A715AA">
          <w:rPr>
            <w:noProof/>
            <w:webHidden/>
          </w:rPr>
          <w:tab/>
        </w:r>
        <w:r w:rsidR="00A715AA">
          <w:rPr>
            <w:noProof/>
            <w:webHidden/>
          </w:rPr>
          <w:fldChar w:fldCharType="begin"/>
        </w:r>
        <w:r w:rsidR="00A715AA">
          <w:rPr>
            <w:noProof/>
            <w:webHidden/>
          </w:rPr>
          <w:instrText xml:space="preserve"> PAGEREF _Toc491856773 \h </w:instrText>
        </w:r>
        <w:r w:rsidR="00A715AA">
          <w:rPr>
            <w:noProof/>
            <w:webHidden/>
          </w:rPr>
        </w:r>
        <w:r w:rsidR="00A715AA">
          <w:rPr>
            <w:noProof/>
            <w:webHidden/>
          </w:rPr>
          <w:fldChar w:fldCharType="separate"/>
        </w:r>
        <w:r w:rsidR="00235C4A">
          <w:rPr>
            <w:noProof/>
            <w:webHidden/>
          </w:rPr>
          <w:t>74</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74" w:history="1">
        <w:r w:rsidR="00A715AA" w:rsidRPr="00A80193">
          <w:rPr>
            <w:rStyle w:val="Hipervnculo"/>
            <w:noProof/>
          </w:rPr>
          <w:fldChar w:fldCharType="begin"/>
        </w:r>
        <w:r w:rsidR="00A715AA" w:rsidRPr="00A80193">
          <w:rPr>
            <w:rStyle w:val="Hipervnculo"/>
            <w:noProof/>
          </w:rPr>
          <w:instrText xml:space="preserve"> MACROBUTTON PARADOC </w:instrText>
        </w:r>
        <w:r w:rsidR="00A715AA" w:rsidRPr="00A80193">
          <w:rPr>
            <w:rStyle w:val="Hipervnculo"/>
            <w:noProof/>
          </w:rPr>
          <w:fldChar w:fldCharType="end"/>
        </w:r>
        <w:r w:rsidR="00A715AA" w:rsidRPr="00A80193">
          <w:rPr>
            <w:rStyle w:val="Hipervnculo"/>
            <w:rFonts w:eastAsiaTheme="minorHAnsi"/>
            <w:noProof/>
          </w:rPr>
          <w:t>1.</w:t>
        </w:r>
        <w:r w:rsidR="00A715AA">
          <w:rPr>
            <w:rFonts w:asciiTheme="minorHAnsi" w:eastAsiaTheme="minorEastAsia" w:hAnsiTheme="minorHAnsi" w:cstheme="minorBidi"/>
            <w:noProof/>
            <w:lang w:eastAsia="en-GB"/>
          </w:rPr>
          <w:tab/>
        </w:r>
        <w:r w:rsidR="00A715AA" w:rsidRPr="00A80193">
          <w:rPr>
            <w:rStyle w:val="Hipervnculo"/>
            <w:rFonts w:eastAsiaTheme="minorHAnsi"/>
            <w:noProof/>
          </w:rPr>
          <w:t>The critical influence of early-life circumstances</w:t>
        </w:r>
        <w:r w:rsidR="00A715AA">
          <w:rPr>
            <w:noProof/>
            <w:webHidden/>
          </w:rPr>
          <w:tab/>
        </w:r>
        <w:r w:rsidR="00A715AA">
          <w:rPr>
            <w:noProof/>
            <w:webHidden/>
          </w:rPr>
          <w:fldChar w:fldCharType="begin"/>
        </w:r>
        <w:r w:rsidR="00A715AA">
          <w:rPr>
            <w:noProof/>
            <w:webHidden/>
          </w:rPr>
          <w:instrText xml:space="preserve"> PAGEREF _Toc491856774 \h </w:instrText>
        </w:r>
        <w:r w:rsidR="00A715AA">
          <w:rPr>
            <w:noProof/>
            <w:webHidden/>
          </w:rPr>
        </w:r>
        <w:r w:rsidR="00A715AA">
          <w:rPr>
            <w:noProof/>
            <w:webHidden/>
          </w:rPr>
          <w:fldChar w:fldCharType="separate"/>
        </w:r>
        <w:r w:rsidR="00235C4A">
          <w:rPr>
            <w:noProof/>
            <w:webHidden/>
          </w:rPr>
          <w:t>75</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75" w:history="1">
        <w:r w:rsidR="00A715AA" w:rsidRPr="00A80193">
          <w:rPr>
            <w:rStyle w:val="Hipervnculo"/>
            <w:rFonts w:eastAsiaTheme="minorHAnsi"/>
            <w:noProof/>
          </w:rPr>
          <w:t>2.</w:t>
        </w:r>
        <w:r w:rsidR="00A715AA">
          <w:rPr>
            <w:rFonts w:asciiTheme="minorHAnsi" w:eastAsiaTheme="minorEastAsia" w:hAnsiTheme="minorHAnsi" w:cstheme="minorBidi"/>
            <w:noProof/>
            <w:lang w:eastAsia="en-GB"/>
          </w:rPr>
          <w:tab/>
        </w:r>
        <w:r w:rsidR="00A715AA" w:rsidRPr="00A80193">
          <w:rPr>
            <w:rStyle w:val="Hipervnculo"/>
            <w:rFonts w:eastAsiaTheme="minorHAnsi"/>
            <w:noProof/>
          </w:rPr>
          <w:t>How health status and labour market outcomes interact</w:t>
        </w:r>
        <w:r w:rsidR="00A715AA">
          <w:rPr>
            <w:noProof/>
            <w:webHidden/>
          </w:rPr>
          <w:tab/>
        </w:r>
        <w:r w:rsidR="00A715AA">
          <w:rPr>
            <w:noProof/>
            <w:webHidden/>
          </w:rPr>
          <w:fldChar w:fldCharType="begin"/>
        </w:r>
        <w:r w:rsidR="00A715AA">
          <w:rPr>
            <w:noProof/>
            <w:webHidden/>
          </w:rPr>
          <w:instrText xml:space="preserve"> PAGEREF _Toc491856775 \h </w:instrText>
        </w:r>
        <w:r w:rsidR="00A715AA">
          <w:rPr>
            <w:noProof/>
            <w:webHidden/>
          </w:rPr>
        </w:r>
        <w:r w:rsidR="00A715AA">
          <w:rPr>
            <w:noProof/>
            <w:webHidden/>
          </w:rPr>
          <w:fldChar w:fldCharType="separate"/>
        </w:r>
        <w:r w:rsidR="00235C4A">
          <w:rPr>
            <w:noProof/>
            <w:webHidden/>
          </w:rPr>
          <w:t>76</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76" w:history="1">
        <w:r w:rsidR="00A715AA" w:rsidRPr="00A80193">
          <w:rPr>
            <w:rStyle w:val="Hipervnculo"/>
            <w:rFonts w:eastAsiaTheme="minorHAnsi"/>
            <w:noProof/>
          </w:rPr>
          <w:t>3.</w:t>
        </w:r>
        <w:r w:rsidR="00A715AA">
          <w:rPr>
            <w:rFonts w:asciiTheme="minorHAnsi" w:eastAsiaTheme="minorEastAsia" w:hAnsiTheme="minorHAnsi" w:cstheme="minorBidi"/>
            <w:noProof/>
            <w:lang w:eastAsia="en-GB"/>
          </w:rPr>
          <w:tab/>
        </w:r>
        <w:r w:rsidR="00A715AA" w:rsidRPr="00A80193">
          <w:rPr>
            <w:rStyle w:val="Hipervnculo"/>
            <w:rFonts w:eastAsiaTheme="minorHAnsi"/>
            <w:noProof/>
          </w:rPr>
          <w:t>Trends and social disparities in disability among people aged 50 and over</w:t>
        </w:r>
        <w:r w:rsidR="00A715AA">
          <w:rPr>
            <w:noProof/>
            <w:webHidden/>
          </w:rPr>
          <w:tab/>
        </w:r>
        <w:r w:rsidR="00A715AA">
          <w:rPr>
            <w:noProof/>
            <w:webHidden/>
          </w:rPr>
          <w:fldChar w:fldCharType="begin"/>
        </w:r>
        <w:r w:rsidR="00A715AA">
          <w:rPr>
            <w:noProof/>
            <w:webHidden/>
          </w:rPr>
          <w:instrText xml:space="preserve"> PAGEREF _Toc491856776 \h </w:instrText>
        </w:r>
        <w:r w:rsidR="00A715AA">
          <w:rPr>
            <w:noProof/>
            <w:webHidden/>
          </w:rPr>
        </w:r>
        <w:r w:rsidR="00A715AA">
          <w:rPr>
            <w:noProof/>
            <w:webHidden/>
          </w:rPr>
          <w:fldChar w:fldCharType="separate"/>
        </w:r>
        <w:r w:rsidR="00235C4A">
          <w:rPr>
            <w:noProof/>
            <w:webHidden/>
          </w:rPr>
          <w:t>83</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77" w:history="1">
        <w:r w:rsidR="00A715AA" w:rsidRPr="00A80193">
          <w:rPr>
            <w:rStyle w:val="Hipervnculo"/>
            <w:rFonts w:eastAsiaTheme="minorHAnsi"/>
            <w:noProof/>
          </w:rPr>
          <w:t>4.</w:t>
        </w:r>
        <w:r w:rsidR="00A715AA">
          <w:rPr>
            <w:rFonts w:asciiTheme="minorHAnsi" w:eastAsiaTheme="minorEastAsia" w:hAnsiTheme="minorHAnsi" w:cstheme="minorBidi"/>
            <w:noProof/>
            <w:lang w:eastAsia="en-GB"/>
          </w:rPr>
          <w:tab/>
        </w:r>
        <w:r w:rsidR="00A715AA" w:rsidRPr="00A80193">
          <w:rPr>
            <w:rStyle w:val="Hipervnculo"/>
            <w:rFonts w:eastAsiaTheme="minorHAnsi"/>
            <w:noProof/>
          </w:rPr>
          <w:t>Compounding inequalities in socio-economic status and health in emerging economies</w:t>
        </w:r>
        <w:r w:rsidR="00A715AA">
          <w:rPr>
            <w:noProof/>
            <w:webHidden/>
          </w:rPr>
          <w:tab/>
        </w:r>
        <w:r w:rsidR="00A715AA">
          <w:rPr>
            <w:noProof/>
            <w:webHidden/>
          </w:rPr>
          <w:fldChar w:fldCharType="begin"/>
        </w:r>
        <w:r w:rsidR="00A715AA">
          <w:rPr>
            <w:noProof/>
            <w:webHidden/>
          </w:rPr>
          <w:instrText xml:space="preserve"> PAGEREF _Toc491856777 \h </w:instrText>
        </w:r>
        <w:r w:rsidR="00A715AA">
          <w:rPr>
            <w:noProof/>
            <w:webHidden/>
          </w:rPr>
        </w:r>
        <w:r w:rsidR="00A715AA">
          <w:rPr>
            <w:noProof/>
            <w:webHidden/>
          </w:rPr>
          <w:fldChar w:fldCharType="separate"/>
        </w:r>
        <w:r w:rsidR="00235C4A">
          <w:rPr>
            <w:noProof/>
            <w:webHidden/>
          </w:rPr>
          <w:t>92</w:t>
        </w:r>
        <w:r w:rsidR="00A715AA">
          <w:rPr>
            <w:noProof/>
            <w:webHidden/>
          </w:rPr>
          <w:fldChar w:fldCharType="end"/>
        </w:r>
      </w:hyperlink>
    </w:p>
    <w:p w:rsidR="00A715AA" w:rsidRPr="00A715AA" w:rsidRDefault="00A715AA" w:rsidP="00A715AA">
      <w:pPr>
        <w:pStyle w:val="TDC2"/>
        <w:tabs>
          <w:tab w:val="clear" w:pos="6803"/>
          <w:tab w:val="left" w:pos="567"/>
          <w:tab w:val="right" w:leader="dot" w:pos="8789"/>
        </w:tabs>
        <w:ind w:left="567" w:hanging="369"/>
        <w:jc w:val="left"/>
        <w:rPr>
          <w:rStyle w:val="Hipervnculo"/>
          <w:noProof/>
          <w:color w:val="auto"/>
        </w:rPr>
      </w:pPr>
      <w:r w:rsidRPr="00A715AA">
        <w:rPr>
          <w:rStyle w:val="Hipervnculo"/>
          <w:noProof/>
          <w:color w:val="auto"/>
        </w:rPr>
        <w:t>Notes</w:t>
      </w:r>
      <w:r>
        <w:rPr>
          <w:rStyle w:val="Hipervnculo"/>
          <w:noProof/>
          <w:color w:val="auto"/>
        </w:rPr>
        <w:t xml:space="preserve"> </w:t>
      </w:r>
      <w:r>
        <w:rPr>
          <w:rStyle w:val="Hipervnculo"/>
          <w:noProof/>
          <w:color w:val="auto"/>
        </w:rPr>
        <w:tab/>
        <w:t>99</w:t>
      </w:r>
    </w:p>
    <w:p w:rsidR="00A715AA" w:rsidRDefault="00315185" w:rsidP="00A715AA">
      <w:pPr>
        <w:pStyle w:val="TDC2"/>
        <w:tabs>
          <w:tab w:val="clear" w:pos="6803"/>
          <w:tab w:val="left" w:pos="851"/>
          <w:tab w:val="right" w:leader="dot" w:pos="8789"/>
        </w:tabs>
        <w:ind w:left="567" w:hanging="369"/>
        <w:jc w:val="left"/>
        <w:rPr>
          <w:rStyle w:val="Hipervnculo"/>
          <w:noProof/>
        </w:rPr>
      </w:pPr>
      <w:hyperlink w:anchor="_Toc491856771" w:history="1">
        <w:r w:rsidR="00A715AA">
          <w:rPr>
            <w:rStyle w:val="Hipervnculo"/>
            <w:noProof/>
          </w:rPr>
          <w:t>R</w:t>
        </w:r>
        <w:r w:rsidR="00A715AA" w:rsidRPr="00A80193">
          <w:rPr>
            <w:rStyle w:val="Hipervnculo"/>
            <w:noProof/>
          </w:rPr>
          <w:t>eferences</w:t>
        </w:r>
        <w:r w:rsidR="00A715AA" w:rsidRPr="00A715AA">
          <w:rPr>
            <w:rStyle w:val="Hipervnculo"/>
            <w:noProof/>
            <w:webHidden/>
          </w:rPr>
          <w:tab/>
        </w:r>
        <w:r w:rsidR="00A715AA">
          <w:rPr>
            <w:rStyle w:val="Hipervnculo"/>
            <w:noProof/>
            <w:webHidden/>
          </w:rPr>
          <w:t>102</w:t>
        </w:r>
      </w:hyperlink>
    </w:p>
    <w:p w:rsidR="00A715AA" w:rsidRPr="00A715AA" w:rsidRDefault="00A715AA" w:rsidP="00A715AA">
      <w:pPr>
        <w:pStyle w:val="TDC2"/>
        <w:tabs>
          <w:tab w:val="clear" w:pos="6803"/>
          <w:tab w:val="left" w:pos="851"/>
          <w:tab w:val="right" w:leader="dot" w:pos="8789"/>
        </w:tabs>
        <w:ind w:left="567" w:hanging="369"/>
        <w:jc w:val="left"/>
        <w:rPr>
          <w:rStyle w:val="Hipervnculo"/>
          <w:noProof/>
          <w:color w:val="auto"/>
        </w:rPr>
      </w:pPr>
      <w:r w:rsidRPr="00A715AA">
        <w:rPr>
          <w:rStyle w:val="Hipervnculo"/>
          <w:i/>
          <w:noProof/>
          <w:color w:val="auto"/>
        </w:rPr>
        <w:t>Annex 2.A1.</w:t>
      </w:r>
      <w:r w:rsidRPr="00A715AA">
        <w:rPr>
          <w:rStyle w:val="Hipervnculo"/>
          <w:noProof/>
          <w:color w:val="auto"/>
        </w:rPr>
        <w:t xml:space="preserve"> Additional tables</w:t>
      </w:r>
      <w:r>
        <w:rPr>
          <w:rStyle w:val="Hipervnculo"/>
          <w:noProof/>
          <w:color w:val="auto"/>
        </w:rPr>
        <w:t xml:space="preserve"> </w:t>
      </w:r>
      <w:r>
        <w:rPr>
          <w:rStyle w:val="Hipervnculo"/>
          <w:noProof/>
          <w:color w:val="auto"/>
        </w:rPr>
        <w:tab/>
        <w:t>107</w:t>
      </w:r>
    </w:p>
    <w:p w:rsidR="00A715AA" w:rsidRDefault="00315185" w:rsidP="00A715AA">
      <w:pPr>
        <w:pStyle w:val="TDC1"/>
        <w:tabs>
          <w:tab w:val="clear" w:pos="6803"/>
          <w:tab w:val="right" w:leader="dot" w:pos="8789"/>
        </w:tabs>
        <w:rPr>
          <w:rFonts w:asciiTheme="minorHAnsi" w:eastAsiaTheme="minorEastAsia" w:hAnsiTheme="minorHAnsi" w:cstheme="minorBidi"/>
          <w:b w:val="0"/>
          <w:noProof/>
          <w:lang w:eastAsia="en-GB"/>
        </w:rPr>
      </w:pPr>
      <w:hyperlink w:anchor="_Toc491856779" w:history="1">
        <w:r w:rsidR="00A715AA" w:rsidRPr="00A715AA">
          <w:rPr>
            <w:rStyle w:val="Hipervnculo"/>
            <w:i/>
            <w:noProof/>
            <w:color w:val="4F81BD"/>
          </w:rPr>
          <w:t xml:space="preserve">Chapter 3. </w:t>
        </w:r>
        <w:r w:rsidR="00A715AA" w:rsidRPr="00A715AA">
          <w:rPr>
            <w:rStyle w:val="Hipervnculo"/>
            <w:noProof/>
            <w:color w:val="4F81BD"/>
          </w:rPr>
          <w:t>Recent trends toward increased inequality among future retirees</w:t>
        </w:r>
        <w:r w:rsidR="00A715AA" w:rsidRPr="00A715AA">
          <w:rPr>
            <w:b w:val="0"/>
            <w:noProof/>
            <w:webHidden/>
          </w:rPr>
          <w:tab/>
        </w:r>
        <w:r w:rsidR="00A715AA" w:rsidRPr="00A715AA">
          <w:rPr>
            <w:b w:val="0"/>
            <w:noProof/>
            <w:webHidden/>
          </w:rPr>
          <w:fldChar w:fldCharType="begin"/>
        </w:r>
        <w:r w:rsidR="00A715AA" w:rsidRPr="00A715AA">
          <w:rPr>
            <w:b w:val="0"/>
            <w:noProof/>
            <w:webHidden/>
          </w:rPr>
          <w:instrText xml:space="preserve"> PAGEREF _Toc491856779 \h </w:instrText>
        </w:r>
        <w:r w:rsidR="00A715AA" w:rsidRPr="00A715AA">
          <w:rPr>
            <w:b w:val="0"/>
            <w:noProof/>
            <w:webHidden/>
          </w:rPr>
        </w:r>
        <w:r w:rsidR="00A715AA" w:rsidRPr="00A715AA">
          <w:rPr>
            <w:b w:val="0"/>
            <w:noProof/>
            <w:webHidden/>
          </w:rPr>
          <w:fldChar w:fldCharType="separate"/>
        </w:r>
        <w:r w:rsidR="00235C4A">
          <w:rPr>
            <w:b w:val="0"/>
            <w:noProof/>
            <w:webHidden/>
          </w:rPr>
          <w:t>111</w:t>
        </w:r>
        <w:r w:rsidR="00A715AA" w:rsidRPr="00A715AA">
          <w:rPr>
            <w:b w:val="0"/>
            <w:noProof/>
            <w:webHidden/>
          </w:rPr>
          <w:fldChar w:fldCharType="end"/>
        </w:r>
      </w:hyperlink>
    </w:p>
    <w:p w:rsidR="00A715AA" w:rsidRDefault="00315185" w:rsidP="00A715AA">
      <w:pPr>
        <w:pStyle w:val="TDC2"/>
        <w:tabs>
          <w:tab w:val="clear" w:pos="6803"/>
          <w:tab w:val="right" w:leader="dot" w:pos="8789"/>
        </w:tabs>
        <w:rPr>
          <w:rFonts w:asciiTheme="minorHAnsi" w:eastAsiaTheme="minorEastAsia" w:hAnsiTheme="minorHAnsi" w:cstheme="minorBidi"/>
          <w:noProof/>
          <w:lang w:eastAsia="en-GB"/>
        </w:rPr>
      </w:pPr>
      <w:hyperlink w:anchor="_Toc491856780" w:history="1">
        <w:r w:rsidR="00A715AA" w:rsidRPr="00A80193">
          <w:rPr>
            <w:rStyle w:val="Hipervnculo"/>
            <w:noProof/>
          </w:rPr>
          <w:t>Introduction</w:t>
        </w:r>
        <w:r w:rsidR="00A715AA">
          <w:rPr>
            <w:noProof/>
            <w:webHidden/>
          </w:rPr>
          <w:tab/>
        </w:r>
        <w:r w:rsidR="00A715AA">
          <w:rPr>
            <w:noProof/>
            <w:webHidden/>
          </w:rPr>
          <w:fldChar w:fldCharType="begin"/>
        </w:r>
        <w:r w:rsidR="00A715AA">
          <w:rPr>
            <w:noProof/>
            <w:webHidden/>
          </w:rPr>
          <w:instrText xml:space="preserve"> PAGEREF _Toc491856780 \h </w:instrText>
        </w:r>
        <w:r w:rsidR="00A715AA">
          <w:rPr>
            <w:noProof/>
            <w:webHidden/>
          </w:rPr>
        </w:r>
        <w:r w:rsidR="00A715AA">
          <w:rPr>
            <w:noProof/>
            <w:webHidden/>
          </w:rPr>
          <w:fldChar w:fldCharType="separate"/>
        </w:r>
        <w:r w:rsidR="00235C4A">
          <w:rPr>
            <w:noProof/>
            <w:webHidden/>
          </w:rPr>
          <w:t>112</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1" w:history="1">
        <w:r w:rsidR="00A715AA" w:rsidRPr="00A80193">
          <w:rPr>
            <w:rStyle w:val="Hipervnculo"/>
            <w:noProof/>
          </w:rPr>
          <w:t>1.</w:t>
        </w:r>
        <w:r w:rsidR="00A715AA">
          <w:rPr>
            <w:rFonts w:asciiTheme="minorHAnsi" w:eastAsiaTheme="minorEastAsia" w:hAnsiTheme="minorHAnsi" w:cstheme="minorBidi"/>
            <w:noProof/>
            <w:lang w:eastAsia="en-GB"/>
          </w:rPr>
          <w:tab/>
        </w:r>
        <w:r w:rsidR="00A715AA" w:rsidRPr="00A80193">
          <w:rPr>
            <w:rStyle w:val="Hipervnculo"/>
            <w:noProof/>
          </w:rPr>
          <w:t>Older people have enjoyed big rises in real income compared with previous cohorts</w:t>
        </w:r>
        <w:r w:rsidR="00A715AA">
          <w:rPr>
            <w:noProof/>
            <w:webHidden/>
          </w:rPr>
          <w:tab/>
        </w:r>
        <w:r w:rsidR="00A715AA">
          <w:rPr>
            <w:noProof/>
            <w:webHidden/>
          </w:rPr>
          <w:fldChar w:fldCharType="begin"/>
        </w:r>
        <w:r w:rsidR="00A715AA">
          <w:rPr>
            <w:noProof/>
            <w:webHidden/>
          </w:rPr>
          <w:instrText xml:space="preserve"> PAGEREF _Toc491856781 \h </w:instrText>
        </w:r>
        <w:r w:rsidR="00A715AA">
          <w:rPr>
            <w:noProof/>
            <w:webHidden/>
          </w:rPr>
        </w:r>
        <w:r w:rsidR="00A715AA">
          <w:rPr>
            <w:noProof/>
            <w:webHidden/>
          </w:rPr>
          <w:fldChar w:fldCharType="separate"/>
        </w:r>
        <w:r w:rsidR="00235C4A">
          <w:rPr>
            <w:noProof/>
            <w:webHidden/>
          </w:rPr>
          <w:t>115</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2" w:history="1">
        <w:r w:rsidR="00A715AA" w:rsidRPr="00A80193">
          <w:rPr>
            <w:rStyle w:val="Hipervnculo"/>
            <w:noProof/>
          </w:rPr>
          <w:t>2.</w:t>
        </w:r>
        <w:r w:rsidR="00A715AA">
          <w:rPr>
            <w:rFonts w:asciiTheme="minorHAnsi" w:eastAsiaTheme="minorEastAsia" w:hAnsiTheme="minorHAnsi" w:cstheme="minorBidi"/>
            <w:noProof/>
            <w:lang w:eastAsia="en-GB"/>
          </w:rPr>
          <w:tab/>
        </w:r>
        <w:r w:rsidR="00A715AA" w:rsidRPr="00A80193">
          <w:rPr>
            <w:rStyle w:val="Hipervnculo"/>
            <w:noProof/>
          </w:rPr>
          <w:t>Gender gaps have narrowed but are still wide</w:t>
        </w:r>
        <w:r w:rsidR="00A715AA">
          <w:rPr>
            <w:noProof/>
            <w:webHidden/>
          </w:rPr>
          <w:tab/>
        </w:r>
        <w:r w:rsidR="00A715AA">
          <w:rPr>
            <w:noProof/>
            <w:webHidden/>
          </w:rPr>
          <w:fldChar w:fldCharType="begin"/>
        </w:r>
        <w:r w:rsidR="00A715AA">
          <w:rPr>
            <w:noProof/>
            <w:webHidden/>
          </w:rPr>
          <w:instrText xml:space="preserve"> PAGEREF _Toc491856782 \h </w:instrText>
        </w:r>
        <w:r w:rsidR="00A715AA">
          <w:rPr>
            <w:noProof/>
            <w:webHidden/>
          </w:rPr>
        </w:r>
        <w:r w:rsidR="00A715AA">
          <w:rPr>
            <w:noProof/>
            <w:webHidden/>
          </w:rPr>
          <w:fldChar w:fldCharType="separate"/>
        </w:r>
        <w:r w:rsidR="00235C4A">
          <w:rPr>
            <w:noProof/>
            <w:webHidden/>
          </w:rPr>
          <w:t>123</w:t>
        </w:r>
        <w:r w:rsidR="00A715AA">
          <w:rPr>
            <w:noProof/>
            <w:webHidden/>
          </w:rPr>
          <w:fldChar w:fldCharType="end"/>
        </w:r>
      </w:hyperlink>
    </w:p>
    <w:p w:rsidR="00A715AA" w:rsidRDefault="00315185" w:rsidP="00A715AA">
      <w:pPr>
        <w:pStyle w:val="TDC2"/>
        <w:tabs>
          <w:tab w:val="clear" w:pos="6803"/>
          <w:tab w:val="left" w:pos="595"/>
          <w:tab w:val="right" w:leader="dot" w:pos="8789"/>
        </w:tabs>
        <w:rPr>
          <w:rStyle w:val="Hipervnculo"/>
          <w:noProof/>
        </w:rPr>
      </w:pPr>
      <w:hyperlink w:anchor="_Toc491856783" w:history="1">
        <w:r w:rsidR="00A715AA" w:rsidRPr="00A80193">
          <w:rPr>
            <w:rStyle w:val="Hipervnculo"/>
            <w:noProof/>
          </w:rPr>
          <w:t>3.</w:t>
        </w:r>
        <w:r w:rsidR="00A715AA">
          <w:rPr>
            <w:rFonts w:asciiTheme="minorHAnsi" w:eastAsiaTheme="minorEastAsia" w:hAnsiTheme="minorHAnsi" w:cstheme="minorBidi"/>
            <w:noProof/>
            <w:lang w:eastAsia="en-GB"/>
          </w:rPr>
          <w:tab/>
        </w:r>
        <w:r w:rsidR="00A715AA" w:rsidRPr="00A80193">
          <w:rPr>
            <w:rStyle w:val="Hipervnculo"/>
            <w:noProof/>
          </w:rPr>
          <w:t>There is a rising risk of more unequal ageing</w:t>
        </w:r>
        <w:r w:rsidR="00A715AA">
          <w:rPr>
            <w:noProof/>
            <w:webHidden/>
          </w:rPr>
          <w:tab/>
        </w:r>
        <w:r w:rsidR="00A715AA">
          <w:rPr>
            <w:noProof/>
            <w:webHidden/>
          </w:rPr>
          <w:fldChar w:fldCharType="begin"/>
        </w:r>
        <w:r w:rsidR="00A715AA">
          <w:rPr>
            <w:noProof/>
            <w:webHidden/>
          </w:rPr>
          <w:instrText xml:space="preserve"> PAGEREF _Toc491856783 \h </w:instrText>
        </w:r>
        <w:r w:rsidR="00A715AA">
          <w:rPr>
            <w:noProof/>
            <w:webHidden/>
          </w:rPr>
        </w:r>
        <w:r w:rsidR="00A715AA">
          <w:rPr>
            <w:noProof/>
            <w:webHidden/>
          </w:rPr>
          <w:fldChar w:fldCharType="separate"/>
        </w:r>
        <w:r w:rsidR="00235C4A">
          <w:rPr>
            <w:noProof/>
            <w:webHidden/>
          </w:rPr>
          <w:t>126</w:t>
        </w:r>
        <w:r w:rsidR="00A715AA">
          <w:rPr>
            <w:noProof/>
            <w:webHidden/>
          </w:rPr>
          <w:fldChar w:fldCharType="end"/>
        </w:r>
      </w:hyperlink>
    </w:p>
    <w:p w:rsidR="00A715AA" w:rsidRPr="00A715AA" w:rsidRDefault="00A715AA" w:rsidP="00A715AA">
      <w:pPr>
        <w:pStyle w:val="TDC2"/>
        <w:tabs>
          <w:tab w:val="clear" w:pos="6803"/>
          <w:tab w:val="left" w:pos="567"/>
          <w:tab w:val="right" w:leader="dot" w:pos="8789"/>
        </w:tabs>
        <w:ind w:left="567" w:hanging="369"/>
        <w:jc w:val="left"/>
        <w:rPr>
          <w:rStyle w:val="Hipervnculo"/>
          <w:noProof/>
          <w:color w:val="auto"/>
        </w:rPr>
      </w:pPr>
      <w:r w:rsidRPr="00A715AA">
        <w:rPr>
          <w:rStyle w:val="Hipervnculo"/>
          <w:noProof/>
          <w:color w:val="auto"/>
        </w:rPr>
        <w:t>Notes</w:t>
      </w:r>
      <w:r>
        <w:rPr>
          <w:rStyle w:val="Hipervnculo"/>
          <w:noProof/>
          <w:color w:val="auto"/>
        </w:rPr>
        <w:t xml:space="preserve"> </w:t>
      </w:r>
      <w:r>
        <w:rPr>
          <w:rStyle w:val="Hipervnculo"/>
          <w:noProof/>
          <w:color w:val="auto"/>
        </w:rPr>
        <w:tab/>
        <w:t>132</w:t>
      </w:r>
    </w:p>
    <w:p w:rsidR="00A715AA" w:rsidRPr="00A715AA" w:rsidRDefault="00315185" w:rsidP="00A715AA">
      <w:pPr>
        <w:pStyle w:val="TDC2"/>
        <w:tabs>
          <w:tab w:val="clear" w:pos="6803"/>
          <w:tab w:val="left" w:pos="851"/>
          <w:tab w:val="right" w:leader="dot" w:pos="8789"/>
        </w:tabs>
        <w:ind w:left="567" w:hanging="369"/>
        <w:jc w:val="left"/>
        <w:rPr>
          <w:rStyle w:val="Hipervnculo"/>
          <w:noProof/>
        </w:rPr>
      </w:pPr>
      <w:hyperlink w:anchor="_Toc491856771" w:history="1">
        <w:r w:rsidR="00A715AA">
          <w:rPr>
            <w:rStyle w:val="Hipervnculo"/>
            <w:noProof/>
          </w:rPr>
          <w:t>R</w:t>
        </w:r>
        <w:r w:rsidR="00A715AA" w:rsidRPr="00A80193">
          <w:rPr>
            <w:rStyle w:val="Hipervnculo"/>
            <w:noProof/>
          </w:rPr>
          <w:t>eferences</w:t>
        </w:r>
        <w:r w:rsidR="00A715AA" w:rsidRPr="00A715AA">
          <w:rPr>
            <w:rStyle w:val="Hipervnculo"/>
            <w:noProof/>
            <w:webHidden/>
          </w:rPr>
          <w:tab/>
        </w:r>
      </w:hyperlink>
      <w:r w:rsidR="00A715AA" w:rsidRPr="00A715AA">
        <w:rPr>
          <w:rStyle w:val="Hipervnculo"/>
          <w:noProof/>
          <w:color w:val="auto"/>
        </w:rPr>
        <w:t>133</w:t>
      </w:r>
    </w:p>
    <w:p w:rsidR="00A715AA" w:rsidRDefault="00315185" w:rsidP="00A715AA">
      <w:pPr>
        <w:pStyle w:val="TDC1"/>
        <w:tabs>
          <w:tab w:val="clear" w:pos="6803"/>
          <w:tab w:val="right" w:leader="dot" w:pos="8789"/>
        </w:tabs>
        <w:rPr>
          <w:rFonts w:asciiTheme="minorHAnsi" w:eastAsiaTheme="minorEastAsia" w:hAnsiTheme="minorHAnsi" w:cstheme="minorBidi"/>
          <w:b w:val="0"/>
          <w:noProof/>
          <w:lang w:eastAsia="en-GB"/>
        </w:rPr>
      </w:pPr>
      <w:hyperlink w:anchor="_Toc491856784" w:history="1">
        <w:r w:rsidR="00A715AA" w:rsidRPr="00A80193">
          <w:rPr>
            <w:rStyle w:val="Hipervnculo"/>
            <w:noProof/>
          </w:rPr>
          <w:fldChar w:fldCharType="begin"/>
        </w:r>
        <w:r w:rsidR="00A715AA" w:rsidRPr="00A80193">
          <w:rPr>
            <w:rStyle w:val="Hipervnculo"/>
            <w:noProof/>
          </w:rPr>
          <w:instrText xml:space="preserve"> MACROBUTTON NUMBERING </w:instrText>
        </w:r>
        <w:r w:rsidR="00A715AA" w:rsidRPr="00A80193">
          <w:rPr>
            <w:rStyle w:val="Hipervnculo"/>
            <w:noProof/>
          </w:rPr>
          <w:fldChar w:fldCharType="end"/>
        </w:r>
        <w:r w:rsidR="00A715AA" w:rsidRPr="00A715AA">
          <w:rPr>
            <w:rStyle w:val="Hipervnculo"/>
            <w:i/>
            <w:noProof/>
            <w:color w:val="4F81BD"/>
          </w:rPr>
          <w:t xml:space="preserve">Chapter 4. </w:t>
        </w:r>
        <w:r w:rsidR="00A715AA" w:rsidRPr="00A715AA">
          <w:rPr>
            <w:rStyle w:val="Hipervnculo"/>
            <w:noProof/>
            <w:color w:val="4F81BD"/>
          </w:rPr>
          <w:t>Life course inequality across generations</w:t>
        </w:r>
        <w:r w:rsidR="00A715AA" w:rsidRPr="00A715AA">
          <w:rPr>
            <w:b w:val="0"/>
            <w:noProof/>
            <w:webHidden/>
          </w:rPr>
          <w:tab/>
        </w:r>
        <w:r w:rsidR="00CB1822">
          <w:rPr>
            <w:b w:val="0"/>
            <w:noProof/>
            <w:webHidden/>
          </w:rPr>
          <w:t>135</w:t>
        </w:r>
      </w:hyperlink>
    </w:p>
    <w:p w:rsidR="00A715AA" w:rsidRDefault="00315185" w:rsidP="00A715AA">
      <w:pPr>
        <w:pStyle w:val="TDC2"/>
        <w:tabs>
          <w:tab w:val="clear" w:pos="6803"/>
          <w:tab w:val="right" w:leader="dot" w:pos="8789"/>
        </w:tabs>
        <w:rPr>
          <w:rFonts w:asciiTheme="minorHAnsi" w:eastAsiaTheme="minorEastAsia" w:hAnsiTheme="minorHAnsi" w:cstheme="minorBidi"/>
          <w:noProof/>
          <w:lang w:eastAsia="en-GB"/>
        </w:rPr>
      </w:pPr>
      <w:hyperlink w:anchor="_Toc491856785" w:history="1">
        <w:r w:rsidR="00A715AA" w:rsidRPr="00A80193">
          <w:rPr>
            <w:rStyle w:val="Hipervnculo"/>
            <w:noProof/>
          </w:rPr>
          <w:t>Introduction</w:t>
        </w:r>
        <w:r w:rsidR="00A715AA">
          <w:rPr>
            <w:noProof/>
            <w:webHidden/>
          </w:rPr>
          <w:tab/>
        </w:r>
        <w:r w:rsidR="00A715AA">
          <w:rPr>
            <w:noProof/>
            <w:webHidden/>
          </w:rPr>
          <w:fldChar w:fldCharType="begin"/>
        </w:r>
        <w:r w:rsidR="00A715AA">
          <w:rPr>
            <w:noProof/>
            <w:webHidden/>
          </w:rPr>
          <w:instrText xml:space="preserve"> PAGEREF _Toc491856785 \h </w:instrText>
        </w:r>
        <w:r w:rsidR="00A715AA">
          <w:rPr>
            <w:noProof/>
            <w:webHidden/>
          </w:rPr>
        </w:r>
        <w:r w:rsidR="00A715AA">
          <w:rPr>
            <w:noProof/>
            <w:webHidden/>
          </w:rPr>
          <w:fldChar w:fldCharType="separate"/>
        </w:r>
        <w:r w:rsidR="00235C4A">
          <w:rPr>
            <w:noProof/>
            <w:webHidden/>
          </w:rPr>
          <w:t>136</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6" w:history="1">
        <w:r w:rsidR="00A715AA" w:rsidRPr="00A80193">
          <w:rPr>
            <w:rStyle w:val="Hipervnculo"/>
            <w:noProof/>
          </w:rPr>
          <w:t>1.</w:t>
        </w:r>
        <w:r w:rsidR="00A715AA">
          <w:rPr>
            <w:rFonts w:asciiTheme="minorHAnsi" w:eastAsiaTheme="minorEastAsia" w:hAnsiTheme="minorHAnsi" w:cstheme="minorBidi"/>
            <w:noProof/>
            <w:lang w:eastAsia="en-GB"/>
          </w:rPr>
          <w:tab/>
        </w:r>
        <w:r w:rsidR="00A715AA" w:rsidRPr="00A80193">
          <w:rPr>
            <w:rStyle w:val="Hipervnculo"/>
            <w:noProof/>
          </w:rPr>
          <w:t>Gains and differences in life expectancy</w:t>
        </w:r>
        <w:r w:rsidR="00A715AA">
          <w:rPr>
            <w:noProof/>
            <w:webHidden/>
          </w:rPr>
          <w:tab/>
        </w:r>
        <w:r w:rsidR="00A715AA">
          <w:rPr>
            <w:noProof/>
            <w:webHidden/>
          </w:rPr>
          <w:fldChar w:fldCharType="begin"/>
        </w:r>
        <w:r w:rsidR="00A715AA">
          <w:rPr>
            <w:noProof/>
            <w:webHidden/>
          </w:rPr>
          <w:instrText xml:space="preserve"> PAGEREF _Toc491856786 \h </w:instrText>
        </w:r>
        <w:r w:rsidR="00A715AA">
          <w:rPr>
            <w:noProof/>
            <w:webHidden/>
          </w:rPr>
        </w:r>
        <w:r w:rsidR="00A715AA">
          <w:rPr>
            <w:noProof/>
            <w:webHidden/>
          </w:rPr>
          <w:fldChar w:fldCharType="separate"/>
        </w:r>
        <w:r w:rsidR="00235C4A">
          <w:rPr>
            <w:noProof/>
            <w:webHidden/>
          </w:rPr>
          <w:t>137</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7" w:history="1">
        <w:r w:rsidR="00A715AA" w:rsidRPr="00A80193">
          <w:rPr>
            <w:rStyle w:val="Hipervnculo"/>
            <w:noProof/>
          </w:rPr>
          <w:t>2.</w:t>
        </w:r>
        <w:r w:rsidR="00A715AA">
          <w:rPr>
            <w:rFonts w:asciiTheme="minorHAnsi" w:eastAsiaTheme="minorEastAsia" w:hAnsiTheme="minorHAnsi" w:cstheme="minorBidi"/>
            <w:noProof/>
            <w:lang w:eastAsia="en-GB"/>
          </w:rPr>
          <w:tab/>
        </w:r>
        <w:r w:rsidR="00A715AA" w:rsidRPr="00A80193">
          <w:rPr>
            <w:rStyle w:val="Hipervnculo"/>
            <w:noProof/>
          </w:rPr>
          <w:t>Lifetime earnings by cohort, gender and education</w:t>
        </w:r>
        <w:r w:rsidR="00A715AA">
          <w:rPr>
            <w:noProof/>
            <w:webHidden/>
          </w:rPr>
          <w:tab/>
        </w:r>
        <w:r w:rsidR="00A715AA">
          <w:rPr>
            <w:noProof/>
            <w:webHidden/>
          </w:rPr>
          <w:fldChar w:fldCharType="begin"/>
        </w:r>
        <w:r w:rsidR="00A715AA">
          <w:rPr>
            <w:noProof/>
            <w:webHidden/>
          </w:rPr>
          <w:instrText xml:space="preserve"> PAGEREF _Toc491856787 \h </w:instrText>
        </w:r>
        <w:r w:rsidR="00A715AA">
          <w:rPr>
            <w:noProof/>
            <w:webHidden/>
          </w:rPr>
        </w:r>
        <w:r w:rsidR="00A715AA">
          <w:rPr>
            <w:noProof/>
            <w:webHidden/>
          </w:rPr>
          <w:fldChar w:fldCharType="separate"/>
        </w:r>
        <w:r w:rsidR="00235C4A">
          <w:rPr>
            <w:noProof/>
            <w:webHidden/>
          </w:rPr>
          <w:t>147</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8" w:history="1">
        <w:r w:rsidR="00A715AA" w:rsidRPr="00A80193">
          <w:rPr>
            <w:rStyle w:val="Hipervnculo"/>
            <w:noProof/>
          </w:rPr>
          <w:t>3.</w:t>
        </w:r>
        <w:r w:rsidR="00A715AA">
          <w:rPr>
            <w:rFonts w:asciiTheme="minorHAnsi" w:eastAsiaTheme="minorEastAsia" w:hAnsiTheme="minorHAnsi" w:cstheme="minorBidi"/>
            <w:noProof/>
            <w:lang w:eastAsia="en-GB"/>
          </w:rPr>
          <w:tab/>
        </w:r>
        <w:r w:rsidR="00A715AA" w:rsidRPr="00A80193">
          <w:rPr>
            <w:rStyle w:val="Hipervnculo"/>
            <w:noProof/>
          </w:rPr>
          <w:t>Impact of lifetime inequality on pensions</w:t>
        </w:r>
        <w:r w:rsidR="00A715AA">
          <w:rPr>
            <w:noProof/>
            <w:webHidden/>
          </w:rPr>
          <w:tab/>
        </w:r>
        <w:r w:rsidR="00A715AA">
          <w:rPr>
            <w:noProof/>
            <w:webHidden/>
          </w:rPr>
          <w:fldChar w:fldCharType="begin"/>
        </w:r>
        <w:r w:rsidR="00A715AA">
          <w:rPr>
            <w:noProof/>
            <w:webHidden/>
          </w:rPr>
          <w:instrText xml:space="preserve"> PAGEREF _Toc491856788 \h </w:instrText>
        </w:r>
        <w:r w:rsidR="00A715AA">
          <w:rPr>
            <w:noProof/>
            <w:webHidden/>
          </w:rPr>
        </w:r>
        <w:r w:rsidR="00A715AA">
          <w:rPr>
            <w:noProof/>
            <w:webHidden/>
          </w:rPr>
          <w:fldChar w:fldCharType="separate"/>
        </w:r>
        <w:r w:rsidR="00235C4A">
          <w:rPr>
            <w:noProof/>
            <w:webHidden/>
          </w:rPr>
          <w:t>156</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89" w:history="1">
        <w:r w:rsidR="00A715AA" w:rsidRPr="00A80193">
          <w:rPr>
            <w:rStyle w:val="Hipervnculo"/>
            <w:noProof/>
          </w:rPr>
          <w:t>4.</w:t>
        </w:r>
        <w:r w:rsidR="00A715AA">
          <w:rPr>
            <w:rFonts w:asciiTheme="minorHAnsi" w:eastAsiaTheme="minorEastAsia" w:hAnsiTheme="minorHAnsi" w:cstheme="minorBidi"/>
            <w:noProof/>
            <w:lang w:eastAsia="en-GB"/>
          </w:rPr>
          <w:tab/>
        </w:r>
        <w:r w:rsidR="00A715AA" w:rsidRPr="00A80193">
          <w:rPr>
            <w:rStyle w:val="Hipervnculo"/>
            <w:noProof/>
          </w:rPr>
          <w:t>Policy foresight to address unequal ageing</w:t>
        </w:r>
        <w:r w:rsidR="00A715AA">
          <w:rPr>
            <w:noProof/>
            <w:webHidden/>
          </w:rPr>
          <w:tab/>
        </w:r>
        <w:r w:rsidR="00A715AA">
          <w:rPr>
            <w:noProof/>
            <w:webHidden/>
          </w:rPr>
          <w:fldChar w:fldCharType="begin"/>
        </w:r>
        <w:r w:rsidR="00A715AA">
          <w:rPr>
            <w:noProof/>
            <w:webHidden/>
          </w:rPr>
          <w:instrText xml:space="preserve"> PAGEREF _Toc491856789 \h </w:instrText>
        </w:r>
        <w:r w:rsidR="00A715AA">
          <w:rPr>
            <w:noProof/>
            <w:webHidden/>
          </w:rPr>
        </w:r>
        <w:r w:rsidR="00A715AA">
          <w:rPr>
            <w:noProof/>
            <w:webHidden/>
          </w:rPr>
          <w:fldChar w:fldCharType="separate"/>
        </w:r>
        <w:r w:rsidR="00235C4A">
          <w:rPr>
            <w:noProof/>
            <w:webHidden/>
          </w:rPr>
          <w:t>163</w:t>
        </w:r>
        <w:r w:rsidR="00A715AA">
          <w:rPr>
            <w:noProof/>
            <w:webHidden/>
          </w:rPr>
          <w:fldChar w:fldCharType="end"/>
        </w:r>
      </w:hyperlink>
    </w:p>
    <w:p w:rsidR="00A715AA" w:rsidRPr="00A715AA" w:rsidRDefault="00A715AA" w:rsidP="00A715AA">
      <w:pPr>
        <w:pStyle w:val="TDC2"/>
        <w:tabs>
          <w:tab w:val="clear" w:pos="6803"/>
          <w:tab w:val="left" w:pos="567"/>
          <w:tab w:val="right" w:leader="dot" w:pos="8789"/>
        </w:tabs>
        <w:ind w:left="567" w:hanging="369"/>
        <w:jc w:val="left"/>
        <w:rPr>
          <w:rStyle w:val="Hipervnculo"/>
          <w:noProof/>
          <w:color w:val="auto"/>
        </w:rPr>
      </w:pPr>
      <w:r w:rsidRPr="00A715AA">
        <w:rPr>
          <w:rStyle w:val="Hipervnculo"/>
          <w:noProof/>
          <w:color w:val="auto"/>
        </w:rPr>
        <w:t>Notes</w:t>
      </w:r>
      <w:r>
        <w:rPr>
          <w:rStyle w:val="Hipervnculo"/>
          <w:noProof/>
          <w:color w:val="auto"/>
        </w:rPr>
        <w:t xml:space="preserve"> </w:t>
      </w:r>
      <w:r>
        <w:rPr>
          <w:rStyle w:val="Hipervnculo"/>
          <w:noProof/>
          <w:color w:val="auto"/>
        </w:rPr>
        <w:tab/>
        <w:t>169</w:t>
      </w:r>
    </w:p>
    <w:p w:rsidR="00A715AA" w:rsidRDefault="00315185" w:rsidP="00A715AA">
      <w:pPr>
        <w:pStyle w:val="TDC2"/>
        <w:tabs>
          <w:tab w:val="clear" w:pos="6803"/>
          <w:tab w:val="left" w:pos="851"/>
          <w:tab w:val="right" w:leader="dot" w:pos="8789"/>
        </w:tabs>
        <w:ind w:left="567" w:hanging="369"/>
        <w:jc w:val="left"/>
        <w:rPr>
          <w:rStyle w:val="Hipervnculo"/>
          <w:noProof/>
        </w:rPr>
      </w:pPr>
      <w:hyperlink w:anchor="_Toc491856771" w:history="1">
        <w:r w:rsidR="00A715AA">
          <w:rPr>
            <w:rStyle w:val="Hipervnculo"/>
            <w:noProof/>
          </w:rPr>
          <w:t>R</w:t>
        </w:r>
        <w:r w:rsidR="00A715AA" w:rsidRPr="00A80193">
          <w:rPr>
            <w:rStyle w:val="Hipervnculo"/>
            <w:noProof/>
          </w:rPr>
          <w:t>eferences</w:t>
        </w:r>
        <w:r w:rsidR="00A715AA" w:rsidRPr="00A715AA">
          <w:rPr>
            <w:rStyle w:val="Hipervnculo"/>
            <w:noProof/>
            <w:webHidden/>
          </w:rPr>
          <w:tab/>
        </w:r>
      </w:hyperlink>
      <w:r w:rsidR="00A715AA" w:rsidRPr="00A715AA">
        <w:rPr>
          <w:rStyle w:val="Hipervnculo"/>
          <w:noProof/>
          <w:color w:val="auto"/>
        </w:rPr>
        <w:t>172</w:t>
      </w:r>
    </w:p>
    <w:p w:rsidR="00A715AA" w:rsidRPr="00A715AA" w:rsidRDefault="00A715AA" w:rsidP="00A715AA">
      <w:pPr>
        <w:pStyle w:val="TDC2"/>
        <w:tabs>
          <w:tab w:val="clear" w:pos="6803"/>
          <w:tab w:val="left" w:pos="851"/>
          <w:tab w:val="right" w:leader="dot" w:pos="8789"/>
        </w:tabs>
        <w:ind w:left="567" w:hanging="369"/>
        <w:jc w:val="left"/>
        <w:rPr>
          <w:rStyle w:val="Hipervnculo"/>
          <w:noProof/>
          <w:color w:val="auto"/>
        </w:rPr>
      </w:pPr>
      <w:r w:rsidRPr="00A715AA">
        <w:rPr>
          <w:rStyle w:val="Hipervnculo"/>
          <w:i/>
          <w:noProof/>
          <w:color w:val="auto"/>
        </w:rPr>
        <w:t>Annex 4.A1.</w:t>
      </w:r>
      <w:r w:rsidRPr="00A715AA">
        <w:rPr>
          <w:rStyle w:val="Hipervnculo"/>
          <w:noProof/>
          <w:color w:val="auto"/>
        </w:rPr>
        <w:t xml:space="preserve"> Calculating multi-dimensional living standards</w:t>
      </w:r>
      <w:r>
        <w:rPr>
          <w:rStyle w:val="Hipervnculo"/>
          <w:noProof/>
          <w:color w:val="auto"/>
        </w:rPr>
        <w:t xml:space="preserve"> </w:t>
      </w:r>
      <w:r>
        <w:rPr>
          <w:rStyle w:val="Hipervnculo"/>
          <w:noProof/>
          <w:color w:val="auto"/>
        </w:rPr>
        <w:tab/>
        <w:t>175</w:t>
      </w:r>
    </w:p>
    <w:p w:rsidR="00A715AA" w:rsidRDefault="00A715AA" w:rsidP="00A715AA">
      <w:pPr>
        <w:pStyle w:val="TDC1"/>
        <w:tabs>
          <w:tab w:val="clear" w:pos="6803"/>
          <w:tab w:val="right" w:leader="dot" w:pos="8789"/>
        </w:tabs>
        <w:rPr>
          <w:rStyle w:val="Hipervnculo"/>
          <w:noProof/>
        </w:rPr>
      </w:pPr>
      <w:r w:rsidRPr="00A80193">
        <w:rPr>
          <w:rStyle w:val="Hipervnculo"/>
          <w:noProof/>
        </w:rPr>
        <w:fldChar w:fldCharType="begin"/>
      </w:r>
      <w:r w:rsidRPr="00A80193">
        <w:rPr>
          <w:rStyle w:val="Hipervnculo"/>
          <w:noProof/>
        </w:rPr>
        <w:instrText xml:space="preserve"> </w:instrText>
      </w:r>
      <w:r>
        <w:rPr>
          <w:noProof/>
        </w:rPr>
        <w:instrText>HYPERLINK \l "_Toc491856791"</w:instrText>
      </w:r>
      <w:r w:rsidRPr="00A80193">
        <w:rPr>
          <w:rStyle w:val="Hipervnculo"/>
          <w:noProof/>
        </w:rPr>
        <w:instrText xml:space="preserve"> </w:instrText>
      </w:r>
      <w:r w:rsidRPr="00A80193">
        <w:rPr>
          <w:rStyle w:val="Hipervnculo"/>
          <w:noProof/>
        </w:rPr>
        <w:fldChar w:fldCharType="separate"/>
      </w:r>
      <w:r w:rsidRPr="00A80193">
        <w:rPr>
          <w:rStyle w:val="Hipervnculo"/>
          <w:noProof/>
        </w:rPr>
        <w:fldChar w:fldCharType="begin"/>
      </w:r>
      <w:r w:rsidRPr="00A80193">
        <w:rPr>
          <w:rStyle w:val="Hipervnculo"/>
          <w:noProof/>
        </w:rPr>
        <w:instrText xml:space="preserve"> MACROBUTTON NUMBERING </w:instrText>
      </w:r>
      <w:r w:rsidRPr="00A80193">
        <w:rPr>
          <w:rStyle w:val="Hipervnculo"/>
          <w:noProof/>
        </w:rPr>
        <w:fldChar w:fldCharType="end"/>
      </w:r>
    </w:p>
    <w:p w:rsidR="00A715AA" w:rsidRDefault="00A715AA" w:rsidP="00A715AA">
      <w:pPr>
        <w:pStyle w:val="Textodecuerpo"/>
        <w:rPr>
          <w:rStyle w:val="Hipervnculo"/>
          <w:b/>
          <w:noProof/>
        </w:rPr>
      </w:pPr>
      <w:r>
        <w:rPr>
          <w:rStyle w:val="Hipervnculo"/>
          <w:noProof/>
        </w:rPr>
        <w:br w:type="page"/>
      </w:r>
    </w:p>
    <w:p w:rsidR="00A715AA" w:rsidRDefault="00A715AA" w:rsidP="00A715AA">
      <w:pPr>
        <w:pStyle w:val="TDC1"/>
        <w:tabs>
          <w:tab w:val="clear" w:pos="6803"/>
          <w:tab w:val="right" w:leader="dot" w:pos="8789"/>
        </w:tabs>
        <w:rPr>
          <w:rFonts w:asciiTheme="minorHAnsi" w:eastAsiaTheme="minorEastAsia" w:hAnsiTheme="minorHAnsi" w:cstheme="minorBidi"/>
          <w:b w:val="0"/>
          <w:noProof/>
          <w:lang w:eastAsia="en-GB"/>
        </w:rPr>
      </w:pPr>
      <w:r w:rsidRPr="00A715AA">
        <w:rPr>
          <w:rStyle w:val="Hipervnculo"/>
          <w:i/>
          <w:noProof/>
          <w:color w:val="4F81BD"/>
        </w:rPr>
        <w:lastRenderedPageBreak/>
        <w:t>Chapter 5.</w:t>
      </w:r>
      <w:r w:rsidRPr="00A715AA">
        <w:rPr>
          <w:rStyle w:val="Hipervnculo"/>
          <w:noProof/>
          <w:color w:val="4F81BD"/>
        </w:rPr>
        <w:t xml:space="preserve"> A closer look at the over-50s</w:t>
      </w:r>
      <w:r w:rsidRPr="00A715AA">
        <w:rPr>
          <w:b w:val="0"/>
          <w:noProof/>
          <w:webHidden/>
        </w:rPr>
        <w:tab/>
      </w:r>
      <w:r w:rsidR="00021CA8">
        <w:rPr>
          <w:b w:val="0"/>
          <w:noProof/>
          <w:webHidden/>
        </w:rPr>
        <w:t>177</w:t>
      </w:r>
      <w:r w:rsidRPr="00A80193">
        <w:rPr>
          <w:rStyle w:val="Hipervnculo"/>
          <w:noProof/>
        </w:rPr>
        <w:fldChar w:fldCharType="end"/>
      </w:r>
    </w:p>
    <w:p w:rsidR="00A715AA" w:rsidRDefault="00315185" w:rsidP="00A715AA">
      <w:pPr>
        <w:pStyle w:val="TDC2"/>
        <w:tabs>
          <w:tab w:val="clear" w:pos="6803"/>
          <w:tab w:val="right" w:leader="dot" w:pos="8789"/>
        </w:tabs>
        <w:rPr>
          <w:rFonts w:asciiTheme="minorHAnsi" w:eastAsiaTheme="minorEastAsia" w:hAnsiTheme="minorHAnsi" w:cstheme="minorBidi"/>
          <w:noProof/>
          <w:lang w:eastAsia="en-GB"/>
        </w:rPr>
      </w:pPr>
      <w:hyperlink w:anchor="_Toc491856792" w:history="1">
        <w:r w:rsidR="00A715AA" w:rsidRPr="00A80193">
          <w:rPr>
            <w:rStyle w:val="Hipervnculo"/>
            <w:noProof/>
          </w:rPr>
          <w:t>Introduction</w:t>
        </w:r>
        <w:r w:rsidR="00A715AA">
          <w:rPr>
            <w:noProof/>
            <w:webHidden/>
          </w:rPr>
          <w:tab/>
        </w:r>
        <w:r w:rsidR="00A715AA">
          <w:rPr>
            <w:noProof/>
            <w:webHidden/>
          </w:rPr>
          <w:fldChar w:fldCharType="begin"/>
        </w:r>
        <w:r w:rsidR="00A715AA">
          <w:rPr>
            <w:noProof/>
            <w:webHidden/>
          </w:rPr>
          <w:instrText xml:space="preserve"> PAGEREF _Toc491856792 \h </w:instrText>
        </w:r>
        <w:r w:rsidR="00A715AA">
          <w:rPr>
            <w:noProof/>
            <w:webHidden/>
          </w:rPr>
        </w:r>
        <w:r w:rsidR="00A715AA">
          <w:rPr>
            <w:noProof/>
            <w:webHidden/>
          </w:rPr>
          <w:fldChar w:fldCharType="separate"/>
        </w:r>
        <w:r w:rsidR="00235C4A">
          <w:rPr>
            <w:noProof/>
            <w:webHidden/>
          </w:rPr>
          <w:t>178</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93" w:history="1">
        <w:r w:rsidR="00A715AA" w:rsidRPr="00A80193">
          <w:rPr>
            <w:rStyle w:val="Hipervnculo"/>
            <w:noProof/>
          </w:rPr>
          <w:t>1.</w:t>
        </w:r>
        <w:r w:rsidR="00A715AA">
          <w:rPr>
            <w:rFonts w:asciiTheme="minorHAnsi" w:eastAsiaTheme="minorEastAsia" w:hAnsiTheme="minorHAnsi" w:cstheme="minorBidi"/>
            <w:noProof/>
            <w:lang w:eastAsia="en-GB"/>
          </w:rPr>
          <w:tab/>
        </w:r>
        <w:r w:rsidR="00A715AA" w:rsidRPr="00A80193">
          <w:rPr>
            <w:rStyle w:val="Hipervnculo"/>
            <w:noProof/>
          </w:rPr>
          <w:t>Education-related employment gaps among the elderly</w:t>
        </w:r>
        <w:r w:rsidR="00A715AA">
          <w:rPr>
            <w:noProof/>
            <w:webHidden/>
          </w:rPr>
          <w:tab/>
        </w:r>
        <w:r w:rsidR="00A715AA">
          <w:rPr>
            <w:noProof/>
            <w:webHidden/>
          </w:rPr>
          <w:fldChar w:fldCharType="begin"/>
        </w:r>
        <w:r w:rsidR="00A715AA">
          <w:rPr>
            <w:noProof/>
            <w:webHidden/>
          </w:rPr>
          <w:instrText xml:space="preserve"> PAGEREF _Toc491856793 \h </w:instrText>
        </w:r>
        <w:r w:rsidR="00A715AA">
          <w:rPr>
            <w:noProof/>
            <w:webHidden/>
          </w:rPr>
        </w:r>
        <w:r w:rsidR="00A715AA">
          <w:rPr>
            <w:noProof/>
            <w:webHidden/>
          </w:rPr>
          <w:fldChar w:fldCharType="separate"/>
        </w:r>
        <w:r w:rsidR="00235C4A">
          <w:rPr>
            <w:noProof/>
            <w:webHidden/>
          </w:rPr>
          <w:t>178</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94" w:history="1">
        <w:r w:rsidR="00A715AA" w:rsidRPr="00A80193">
          <w:rPr>
            <w:rStyle w:val="Hipervnculo"/>
            <w:noProof/>
          </w:rPr>
          <w:t>2.</w:t>
        </w:r>
        <w:r w:rsidR="00A715AA">
          <w:rPr>
            <w:rFonts w:asciiTheme="minorHAnsi" w:eastAsiaTheme="minorEastAsia" w:hAnsiTheme="minorHAnsi" w:cstheme="minorBidi"/>
            <w:noProof/>
            <w:lang w:eastAsia="en-GB"/>
          </w:rPr>
          <w:tab/>
        </w:r>
        <w:r w:rsidR="00A715AA" w:rsidRPr="00A80193">
          <w:rPr>
            <w:rStyle w:val="Hipervnculo"/>
            <w:noProof/>
          </w:rPr>
          <w:t>Digital technologies drive age inequalities at work</w:t>
        </w:r>
        <w:r w:rsidR="00A715AA">
          <w:rPr>
            <w:noProof/>
            <w:webHidden/>
          </w:rPr>
          <w:tab/>
        </w:r>
        <w:r w:rsidR="00A715AA">
          <w:rPr>
            <w:noProof/>
            <w:webHidden/>
          </w:rPr>
          <w:fldChar w:fldCharType="begin"/>
        </w:r>
        <w:r w:rsidR="00A715AA">
          <w:rPr>
            <w:noProof/>
            <w:webHidden/>
          </w:rPr>
          <w:instrText xml:space="preserve"> PAGEREF _Toc491856794 \h </w:instrText>
        </w:r>
        <w:r w:rsidR="00A715AA">
          <w:rPr>
            <w:noProof/>
            <w:webHidden/>
          </w:rPr>
        </w:r>
        <w:r w:rsidR="00A715AA">
          <w:rPr>
            <w:noProof/>
            <w:webHidden/>
          </w:rPr>
          <w:fldChar w:fldCharType="separate"/>
        </w:r>
        <w:r w:rsidR="00235C4A">
          <w:rPr>
            <w:noProof/>
            <w:webHidden/>
          </w:rPr>
          <w:t>181</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95" w:history="1">
        <w:r w:rsidR="00A715AA" w:rsidRPr="00A80193">
          <w:rPr>
            <w:rStyle w:val="Hipervnculo"/>
            <w:noProof/>
          </w:rPr>
          <w:t>3.</w:t>
        </w:r>
        <w:r w:rsidR="00A715AA">
          <w:rPr>
            <w:rFonts w:asciiTheme="minorHAnsi" w:eastAsiaTheme="minorEastAsia" w:hAnsiTheme="minorHAnsi" w:cstheme="minorBidi"/>
            <w:noProof/>
            <w:lang w:eastAsia="en-GB"/>
          </w:rPr>
          <w:tab/>
        </w:r>
        <w:r w:rsidR="00A715AA" w:rsidRPr="00A80193">
          <w:rPr>
            <w:rStyle w:val="Hipervnculo"/>
            <w:noProof/>
          </w:rPr>
          <w:t>Inclusive labour markets for older workers</w:t>
        </w:r>
        <w:r w:rsidR="00A715AA">
          <w:rPr>
            <w:noProof/>
            <w:webHidden/>
          </w:rPr>
          <w:tab/>
        </w:r>
        <w:r w:rsidR="00A715AA">
          <w:rPr>
            <w:noProof/>
            <w:webHidden/>
          </w:rPr>
          <w:fldChar w:fldCharType="begin"/>
        </w:r>
        <w:r w:rsidR="00A715AA">
          <w:rPr>
            <w:noProof/>
            <w:webHidden/>
          </w:rPr>
          <w:instrText xml:space="preserve"> PAGEREF _Toc491856795 \h </w:instrText>
        </w:r>
        <w:r w:rsidR="00A715AA">
          <w:rPr>
            <w:noProof/>
            <w:webHidden/>
          </w:rPr>
        </w:r>
        <w:r w:rsidR="00A715AA">
          <w:rPr>
            <w:noProof/>
            <w:webHidden/>
          </w:rPr>
          <w:fldChar w:fldCharType="separate"/>
        </w:r>
        <w:r w:rsidR="00235C4A">
          <w:rPr>
            <w:noProof/>
            <w:webHidden/>
          </w:rPr>
          <w:t>186</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96" w:history="1">
        <w:r w:rsidR="00A715AA" w:rsidRPr="00A80193">
          <w:rPr>
            <w:rStyle w:val="Hipervnculo"/>
            <w:noProof/>
          </w:rPr>
          <w:t>4.</w:t>
        </w:r>
        <w:r w:rsidR="00A715AA">
          <w:rPr>
            <w:rFonts w:asciiTheme="minorHAnsi" w:eastAsiaTheme="minorEastAsia" w:hAnsiTheme="minorHAnsi" w:cstheme="minorBidi"/>
            <w:noProof/>
            <w:lang w:eastAsia="en-GB"/>
          </w:rPr>
          <w:tab/>
        </w:r>
        <w:r w:rsidR="00A715AA" w:rsidRPr="00A80193">
          <w:rPr>
            <w:rStyle w:val="Hipervnculo"/>
            <w:noProof/>
          </w:rPr>
          <w:t>Health-related ability to work at older ages</w:t>
        </w:r>
        <w:r w:rsidR="00A715AA">
          <w:rPr>
            <w:noProof/>
            <w:webHidden/>
          </w:rPr>
          <w:tab/>
        </w:r>
        <w:r w:rsidR="00A715AA">
          <w:rPr>
            <w:noProof/>
            <w:webHidden/>
          </w:rPr>
          <w:fldChar w:fldCharType="begin"/>
        </w:r>
        <w:r w:rsidR="00A715AA">
          <w:rPr>
            <w:noProof/>
            <w:webHidden/>
          </w:rPr>
          <w:instrText xml:space="preserve"> PAGEREF _Toc491856796 \h </w:instrText>
        </w:r>
        <w:r w:rsidR="00A715AA">
          <w:rPr>
            <w:noProof/>
            <w:webHidden/>
          </w:rPr>
        </w:r>
        <w:r w:rsidR="00A715AA">
          <w:rPr>
            <w:noProof/>
            <w:webHidden/>
          </w:rPr>
          <w:fldChar w:fldCharType="separate"/>
        </w:r>
        <w:r w:rsidR="00235C4A">
          <w:rPr>
            <w:noProof/>
            <w:webHidden/>
          </w:rPr>
          <w:t>194</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797" w:history="1">
        <w:r w:rsidR="00A715AA" w:rsidRPr="00A80193">
          <w:rPr>
            <w:rStyle w:val="Hipervnculo"/>
            <w:noProof/>
          </w:rPr>
          <w:t>5.</w:t>
        </w:r>
        <w:r w:rsidR="00A715AA">
          <w:rPr>
            <w:rFonts w:asciiTheme="minorHAnsi" w:eastAsiaTheme="minorEastAsia" w:hAnsiTheme="minorHAnsi" w:cstheme="minorBidi"/>
            <w:noProof/>
            <w:lang w:eastAsia="en-GB"/>
          </w:rPr>
          <w:tab/>
        </w:r>
        <w:r w:rsidR="00A715AA" w:rsidRPr="00A80193">
          <w:rPr>
            <w:rStyle w:val="Hipervnculo"/>
            <w:noProof/>
          </w:rPr>
          <w:t>Barriers to longer working lives and the retirement decision</w:t>
        </w:r>
        <w:r w:rsidR="00A715AA">
          <w:rPr>
            <w:noProof/>
            <w:webHidden/>
          </w:rPr>
          <w:tab/>
        </w:r>
        <w:r w:rsidR="00A715AA">
          <w:rPr>
            <w:noProof/>
            <w:webHidden/>
          </w:rPr>
          <w:fldChar w:fldCharType="begin"/>
        </w:r>
        <w:r w:rsidR="00A715AA">
          <w:rPr>
            <w:noProof/>
            <w:webHidden/>
          </w:rPr>
          <w:instrText xml:space="preserve"> PAGEREF _Toc491856797 \h </w:instrText>
        </w:r>
        <w:r w:rsidR="00A715AA">
          <w:rPr>
            <w:noProof/>
            <w:webHidden/>
          </w:rPr>
        </w:r>
        <w:r w:rsidR="00A715AA">
          <w:rPr>
            <w:noProof/>
            <w:webHidden/>
          </w:rPr>
          <w:fldChar w:fldCharType="separate"/>
        </w:r>
        <w:r w:rsidR="00235C4A">
          <w:rPr>
            <w:noProof/>
            <w:webHidden/>
          </w:rPr>
          <w:t>201</w:t>
        </w:r>
        <w:r w:rsidR="00A715AA">
          <w:rPr>
            <w:noProof/>
            <w:webHidden/>
          </w:rPr>
          <w:fldChar w:fldCharType="end"/>
        </w:r>
      </w:hyperlink>
    </w:p>
    <w:p w:rsidR="00A715AA" w:rsidRDefault="00315185" w:rsidP="00A715AA">
      <w:pPr>
        <w:pStyle w:val="TDC2"/>
        <w:tabs>
          <w:tab w:val="clear" w:pos="6803"/>
          <w:tab w:val="left" w:pos="595"/>
          <w:tab w:val="right" w:leader="dot" w:pos="8789"/>
        </w:tabs>
        <w:rPr>
          <w:rStyle w:val="Hipervnculo"/>
          <w:noProof/>
        </w:rPr>
      </w:pPr>
      <w:hyperlink w:anchor="_Toc491856798" w:history="1">
        <w:r w:rsidR="00A715AA" w:rsidRPr="00A80193">
          <w:rPr>
            <w:rStyle w:val="Hipervnculo"/>
            <w:noProof/>
          </w:rPr>
          <w:t>6.</w:t>
        </w:r>
        <w:r w:rsidR="00A715AA">
          <w:rPr>
            <w:rFonts w:asciiTheme="minorHAnsi" w:eastAsiaTheme="minorEastAsia" w:hAnsiTheme="minorHAnsi" w:cstheme="minorBidi"/>
            <w:noProof/>
            <w:lang w:eastAsia="en-GB"/>
          </w:rPr>
          <w:tab/>
        </w:r>
        <w:r w:rsidR="00A715AA" w:rsidRPr="00A80193">
          <w:rPr>
            <w:rStyle w:val="Hipervnculo"/>
            <w:noProof/>
          </w:rPr>
          <w:t>Retirement income adequacy issues</w:t>
        </w:r>
        <w:r w:rsidR="00A715AA">
          <w:rPr>
            <w:noProof/>
            <w:webHidden/>
          </w:rPr>
          <w:tab/>
        </w:r>
        <w:r w:rsidR="00A715AA">
          <w:rPr>
            <w:noProof/>
            <w:webHidden/>
          </w:rPr>
          <w:fldChar w:fldCharType="begin"/>
        </w:r>
        <w:r w:rsidR="00A715AA">
          <w:rPr>
            <w:noProof/>
            <w:webHidden/>
          </w:rPr>
          <w:instrText xml:space="preserve"> PAGEREF _Toc491856798 \h </w:instrText>
        </w:r>
        <w:r w:rsidR="00A715AA">
          <w:rPr>
            <w:noProof/>
            <w:webHidden/>
          </w:rPr>
        </w:r>
        <w:r w:rsidR="00A715AA">
          <w:rPr>
            <w:noProof/>
            <w:webHidden/>
          </w:rPr>
          <w:fldChar w:fldCharType="separate"/>
        </w:r>
        <w:r w:rsidR="00235C4A">
          <w:rPr>
            <w:noProof/>
            <w:webHidden/>
          </w:rPr>
          <w:t>204</w:t>
        </w:r>
        <w:r w:rsidR="00A715AA">
          <w:rPr>
            <w:noProof/>
            <w:webHidden/>
          </w:rPr>
          <w:fldChar w:fldCharType="end"/>
        </w:r>
      </w:hyperlink>
    </w:p>
    <w:p w:rsidR="00A715AA" w:rsidRPr="00A715AA" w:rsidRDefault="00A715AA" w:rsidP="00A715AA">
      <w:pPr>
        <w:pStyle w:val="TDC2"/>
        <w:tabs>
          <w:tab w:val="clear" w:pos="6803"/>
          <w:tab w:val="left" w:pos="567"/>
          <w:tab w:val="right" w:leader="dot" w:pos="8789"/>
        </w:tabs>
        <w:ind w:left="567" w:hanging="369"/>
        <w:jc w:val="left"/>
        <w:rPr>
          <w:rStyle w:val="Hipervnculo"/>
          <w:noProof/>
          <w:color w:val="auto"/>
        </w:rPr>
      </w:pPr>
      <w:r w:rsidRPr="00A715AA">
        <w:rPr>
          <w:rStyle w:val="Hipervnculo"/>
          <w:noProof/>
          <w:color w:val="auto"/>
        </w:rPr>
        <w:t>Notes</w:t>
      </w:r>
      <w:r>
        <w:rPr>
          <w:rStyle w:val="Hipervnculo"/>
          <w:noProof/>
          <w:color w:val="auto"/>
        </w:rPr>
        <w:t xml:space="preserve"> </w:t>
      </w:r>
      <w:r>
        <w:rPr>
          <w:rStyle w:val="Hipervnculo"/>
          <w:noProof/>
          <w:color w:val="auto"/>
        </w:rPr>
        <w:tab/>
        <w:t>211</w:t>
      </w:r>
    </w:p>
    <w:p w:rsidR="00A715AA" w:rsidRPr="00A715AA" w:rsidRDefault="00315185" w:rsidP="00A715AA">
      <w:pPr>
        <w:pStyle w:val="TDC2"/>
        <w:tabs>
          <w:tab w:val="clear" w:pos="6803"/>
          <w:tab w:val="left" w:pos="851"/>
          <w:tab w:val="right" w:leader="dot" w:pos="8789"/>
        </w:tabs>
        <w:ind w:left="567" w:hanging="369"/>
        <w:jc w:val="left"/>
        <w:rPr>
          <w:rStyle w:val="Hipervnculo"/>
          <w:noProof/>
        </w:rPr>
      </w:pPr>
      <w:hyperlink w:anchor="_Toc491856771" w:history="1">
        <w:r w:rsidR="00A715AA">
          <w:rPr>
            <w:rStyle w:val="Hipervnculo"/>
            <w:noProof/>
          </w:rPr>
          <w:t>R</w:t>
        </w:r>
        <w:r w:rsidR="00A715AA" w:rsidRPr="00A80193">
          <w:rPr>
            <w:rStyle w:val="Hipervnculo"/>
            <w:noProof/>
          </w:rPr>
          <w:t>eferences</w:t>
        </w:r>
        <w:r w:rsidR="00A715AA" w:rsidRPr="00A715AA">
          <w:rPr>
            <w:rStyle w:val="Hipervnculo"/>
            <w:noProof/>
            <w:webHidden/>
          </w:rPr>
          <w:tab/>
        </w:r>
      </w:hyperlink>
      <w:r w:rsidR="00021CA8" w:rsidRPr="00021CA8">
        <w:rPr>
          <w:rStyle w:val="Hipervnculo"/>
          <w:noProof/>
          <w:color w:val="auto"/>
        </w:rPr>
        <w:t>214</w:t>
      </w:r>
    </w:p>
    <w:p w:rsidR="00A715AA" w:rsidRDefault="00315185" w:rsidP="00A715AA">
      <w:pPr>
        <w:pStyle w:val="TDC1"/>
        <w:tabs>
          <w:tab w:val="clear" w:pos="6803"/>
          <w:tab w:val="right" w:leader="dot" w:pos="8789"/>
        </w:tabs>
        <w:rPr>
          <w:rFonts w:asciiTheme="minorHAnsi" w:eastAsiaTheme="minorEastAsia" w:hAnsiTheme="minorHAnsi" w:cstheme="minorBidi"/>
          <w:b w:val="0"/>
          <w:noProof/>
          <w:lang w:eastAsia="en-GB"/>
        </w:rPr>
      </w:pPr>
      <w:hyperlink w:anchor="_Toc491856799" w:history="1">
        <w:r w:rsidR="00A715AA" w:rsidRPr="00A80193">
          <w:rPr>
            <w:rStyle w:val="Hipervnculo"/>
            <w:noProof/>
          </w:rPr>
          <w:fldChar w:fldCharType="begin"/>
        </w:r>
        <w:r w:rsidR="00A715AA" w:rsidRPr="00A80193">
          <w:rPr>
            <w:rStyle w:val="Hipervnculo"/>
            <w:noProof/>
          </w:rPr>
          <w:instrText xml:space="preserve"> MACROBUTTON NUMBERING </w:instrText>
        </w:r>
        <w:r w:rsidR="00A715AA" w:rsidRPr="00A80193">
          <w:rPr>
            <w:rStyle w:val="Hipervnculo"/>
            <w:noProof/>
          </w:rPr>
          <w:fldChar w:fldCharType="end"/>
        </w:r>
        <w:r w:rsidR="00A715AA" w:rsidRPr="00A715AA">
          <w:rPr>
            <w:rStyle w:val="Hipervnculo"/>
            <w:i/>
            <w:noProof/>
            <w:color w:val="4F81BD"/>
          </w:rPr>
          <w:t>Chapter 6.</w:t>
        </w:r>
        <w:r w:rsidR="00A715AA" w:rsidRPr="00A715AA">
          <w:rPr>
            <w:rStyle w:val="Hipervnculo"/>
            <w:noProof/>
            <w:color w:val="4F81BD"/>
          </w:rPr>
          <w:t xml:space="preserve"> Living conditions in later life</w:t>
        </w:r>
        <w:r w:rsidR="00A715AA" w:rsidRPr="00A715AA">
          <w:rPr>
            <w:b w:val="0"/>
            <w:noProof/>
            <w:webHidden/>
          </w:rPr>
          <w:tab/>
        </w:r>
        <w:r w:rsidR="00A715AA" w:rsidRPr="00A715AA">
          <w:rPr>
            <w:b w:val="0"/>
            <w:noProof/>
            <w:webHidden/>
          </w:rPr>
          <w:fldChar w:fldCharType="begin"/>
        </w:r>
        <w:r w:rsidR="00A715AA" w:rsidRPr="00A715AA">
          <w:rPr>
            <w:b w:val="0"/>
            <w:noProof/>
            <w:webHidden/>
          </w:rPr>
          <w:instrText xml:space="preserve"> PAGEREF _Toc491856799 \h </w:instrText>
        </w:r>
        <w:r w:rsidR="00A715AA" w:rsidRPr="00A715AA">
          <w:rPr>
            <w:b w:val="0"/>
            <w:noProof/>
            <w:webHidden/>
          </w:rPr>
        </w:r>
        <w:r w:rsidR="00A715AA" w:rsidRPr="00A715AA">
          <w:rPr>
            <w:b w:val="0"/>
            <w:noProof/>
            <w:webHidden/>
          </w:rPr>
          <w:fldChar w:fldCharType="separate"/>
        </w:r>
        <w:r w:rsidR="00235C4A">
          <w:rPr>
            <w:b w:val="0"/>
            <w:noProof/>
            <w:webHidden/>
          </w:rPr>
          <w:t>217</w:t>
        </w:r>
        <w:r w:rsidR="00A715AA" w:rsidRPr="00A715AA">
          <w:rPr>
            <w:b w:val="0"/>
            <w:noProof/>
            <w:webHidden/>
          </w:rPr>
          <w:fldChar w:fldCharType="end"/>
        </w:r>
      </w:hyperlink>
    </w:p>
    <w:p w:rsidR="00A715AA" w:rsidRDefault="00315185" w:rsidP="00A715AA">
      <w:pPr>
        <w:pStyle w:val="TDC2"/>
        <w:tabs>
          <w:tab w:val="clear" w:pos="6803"/>
          <w:tab w:val="right" w:leader="dot" w:pos="8789"/>
        </w:tabs>
        <w:rPr>
          <w:rFonts w:asciiTheme="minorHAnsi" w:eastAsiaTheme="minorEastAsia" w:hAnsiTheme="minorHAnsi" w:cstheme="minorBidi"/>
          <w:noProof/>
          <w:lang w:eastAsia="en-GB"/>
        </w:rPr>
      </w:pPr>
      <w:hyperlink w:anchor="_Toc491856800" w:history="1">
        <w:r w:rsidR="00A715AA" w:rsidRPr="00A80193">
          <w:rPr>
            <w:rStyle w:val="Hipervnculo"/>
            <w:noProof/>
          </w:rPr>
          <w:t>Introduction</w:t>
        </w:r>
        <w:r w:rsidR="00A715AA">
          <w:rPr>
            <w:noProof/>
            <w:webHidden/>
          </w:rPr>
          <w:tab/>
        </w:r>
        <w:r w:rsidR="00A715AA">
          <w:rPr>
            <w:noProof/>
            <w:webHidden/>
          </w:rPr>
          <w:fldChar w:fldCharType="begin"/>
        </w:r>
        <w:r w:rsidR="00A715AA">
          <w:rPr>
            <w:noProof/>
            <w:webHidden/>
          </w:rPr>
          <w:instrText xml:space="preserve"> PAGEREF _Toc491856800 \h </w:instrText>
        </w:r>
        <w:r w:rsidR="00A715AA">
          <w:rPr>
            <w:noProof/>
            <w:webHidden/>
          </w:rPr>
        </w:r>
        <w:r w:rsidR="00A715AA">
          <w:rPr>
            <w:noProof/>
            <w:webHidden/>
          </w:rPr>
          <w:fldChar w:fldCharType="separate"/>
        </w:r>
        <w:r w:rsidR="00235C4A">
          <w:rPr>
            <w:noProof/>
            <w:webHidden/>
          </w:rPr>
          <w:t>218</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801" w:history="1">
        <w:r w:rsidR="00A715AA" w:rsidRPr="00A80193">
          <w:rPr>
            <w:rStyle w:val="Hipervnculo"/>
            <w:noProof/>
          </w:rPr>
          <w:t>1.</w:t>
        </w:r>
        <w:r w:rsidR="00A715AA">
          <w:rPr>
            <w:rFonts w:asciiTheme="minorHAnsi" w:eastAsiaTheme="minorEastAsia" w:hAnsiTheme="minorHAnsi" w:cstheme="minorBidi"/>
            <w:noProof/>
            <w:lang w:eastAsia="en-GB"/>
          </w:rPr>
          <w:tab/>
        </w:r>
        <w:r w:rsidR="00A715AA" w:rsidRPr="00A80193">
          <w:rPr>
            <w:rStyle w:val="Hipervnculo"/>
            <w:noProof/>
          </w:rPr>
          <w:t>Spatial inequalities in ageing populations</w:t>
        </w:r>
        <w:r w:rsidR="00A715AA">
          <w:rPr>
            <w:noProof/>
            <w:webHidden/>
          </w:rPr>
          <w:tab/>
        </w:r>
        <w:r w:rsidR="00A715AA">
          <w:rPr>
            <w:noProof/>
            <w:webHidden/>
          </w:rPr>
          <w:fldChar w:fldCharType="begin"/>
        </w:r>
        <w:r w:rsidR="00A715AA">
          <w:rPr>
            <w:noProof/>
            <w:webHidden/>
          </w:rPr>
          <w:instrText xml:space="preserve"> PAGEREF _Toc491856801 \h </w:instrText>
        </w:r>
        <w:r w:rsidR="00A715AA">
          <w:rPr>
            <w:noProof/>
            <w:webHidden/>
          </w:rPr>
        </w:r>
        <w:r w:rsidR="00A715AA">
          <w:rPr>
            <w:noProof/>
            <w:webHidden/>
          </w:rPr>
          <w:fldChar w:fldCharType="separate"/>
        </w:r>
        <w:r w:rsidR="00235C4A">
          <w:rPr>
            <w:noProof/>
            <w:webHidden/>
          </w:rPr>
          <w:t>219</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802" w:history="1">
        <w:r w:rsidR="00A715AA" w:rsidRPr="00A80193">
          <w:rPr>
            <w:rStyle w:val="Hipervnculo"/>
            <w:noProof/>
          </w:rPr>
          <w:t>2.</w:t>
        </w:r>
        <w:r w:rsidR="00A715AA">
          <w:rPr>
            <w:rFonts w:asciiTheme="minorHAnsi" w:eastAsiaTheme="minorEastAsia" w:hAnsiTheme="minorHAnsi" w:cstheme="minorBidi"/>
            <w:noProof/>
            <w:lang w:eastAsia="en-GB"/>
          </w:rPr>
          <w:tab/>
        </w:r>
        <w:r w:rsidR="00A715AA" w:rsidRPr="00A80193">
          <w:rPr>
            <w:rStyle w:val="Hipervnculo"/>
            <w:noProof/>
          </w:rPr>
          <w:t>Living conditions and well-being among the over-80s</w:t>
        </w:r>
        <w:r w:rsidR="00A715AA">
          <w:rPr>
            <w:noProof/>
            <w:webHidden/>
          </w:rPr>
          <w:tab/>
        </w:r>
        <w:r w:rsidR="00A715AA">
          <w:rPr>
            <w:noProof/>
            <w:webHidden/>
          </w:rPr>
          <w:fldChar w:fldCharType="begin"/>
        </w:r>
        <w:r w:rsidR="00A715AA">
          <w:rPr>
            <w:noProof/>
            <w:webHidden/>
          </w:rPr>
          <w:instrText xml:space="preserve"> PAGEREF _Toc491856802 \h </w:instrText>
        </w:r>
        <w:r w:rsidR="00A715AA">
          <w:rPr>
            <w:noProof/>
            <w:webHidden/>
          </w:rPr>
        </w:r>
        <w:r w:rsidR="00A715AA">
          <w:rPr>
            <w:noProof/>
            <w:webHidden/>
          </w:rPr>
          <w:fldChar w:fldCharType="separate"/>
        </w:r>
        <w:r w:rsidR="00235C4A">
          <w:rPr>
            <w:noProof/>
            <w:webHidden/>
          </w:rPr>
          <w:t>229</w:t>
        </w:r>
        <w:r w:rsidR="00A715AA">
          <w:rPr>
            <w:noProof/>
            <w:webHidden/>
          </w:rPr>
          <w:fldChar w:fldCharType="end"/>
        </w:r>
      </w:hyperlink>
    </w:p>
    <w:p w:rsidR="00A715AA" w:rsidRDefault="00315185" w:rsidP="00A715AA">
      <w:pPr>
        <w:pStyle w:val="TDC2"/>
        <w:tabs>
          <w:tab w:val="clear" w:pos="6803"/>
          <w:tab w:val="left" w:pos="595"/>
          <w:tab w:val="right" w:leader="dot" w:pos="8789"/>
        </w:tabs>
        <w:rPr>
          <w:rFonts w:asciiTheme="minorHAnsi" w:eastAsiaTheme="minorEastAsia" w:hAnsiTheme="minorHAnsi" w:cstheme="minorBidi"/>
          <w:noProof/>
          <w:lang w:eastAsia="en-GB"/>
        </w:rPr>
      </w:pPr>
      <w:hyperlink w:anchor="_Toc491856803" w:history="1">
        <w:r w:rsidR="00A715AA" w:rsidRPr="00A80193">
          <w:rPr>
            <w:rStyle w:val="Hipervnculo"/>
            <w:noProof/>
          </w:rPr>
          <w:t>3.</w:t>
        </w:r>
        <w:r w:rsidR="00A715AA">
          <w:rPr>
            <w:rFonts w:asciiTheme="minorHAnsi" w:eastAsiaTheme="minorEastAsia" w:hAnsiTheme="minorHAnsi" w:cstheme="minorBidi"/>
            <w:noProof/>
            <w:lang w:eastAsia="en-GB"/>
          </w:rPr>
          <w:tab/>
        </w:r>
        <w:r w:rsidR="00A715AA" w:rsidRPr="00A80193">
          <w:rPr>
            <w:rStyle w:val="Hipervnculo"/>
            <w:noProof/>
          </w:rPr>
          <w:t>Long-term care</w:t>
        </w:r>
        <w:r w:rsidR="00A715AA">
          <w:rPr>
            <w:noProof/>
            <w:webHidden/>
          </w:rPr>
          <w:tab/>
        </w:r>
        <w:r w:rsidR="00A715AA">
          <w:rPr>
            <w:noProof/>
            <w:webHidden/>
          </w:rPr>
          <w:fldChar w:fldCharType="begin"/>
        </w:r>
        <w:r w:rsidR="00A715AA">
          <w:rPr>
            <w:noProof/>
            <w:webHidden/>
          </w:rPr>
          <w:instrText xml:space="preserve"> PAGEREF _Toc491856803 \h </w:instrText>
        </w:r>
        <w:r w:rsidR="00A715AA">
          <w:rPr>
            <w:noProof/>
            <w:webHidden/>
          </w:rPr>
        </w:r>
        <w:r w:rsidR="00A715AA">
          <w:rPr>
            <w:noProof/>
            <w:webHidden/>
          </w:rPr>
          <w:fldChar w:fldCharType="separate"/>
        </w:r>
        <w:r w:rsidR="00235C4A">
          <w:rPr>
            <w:noProof/>
            <w:webHidden/>
          </w:rPr>
          <w:t>238</w:t>
        </w:r>
        <w:r w:rsidR="00A715AA">
          <w:rPr>
            <w:noProof/>
            <w:webHidden/>
          </w:rPr>
          <w:fldChar w:fldCharType="end"/>
        </w:r>
      </w:hyperlink>
    </w:p>
    <w:p w:rsidR="00A715AA" w:rsidRDefault="00944562" w:rsidP="00A715AA">
      <w:pPr>
        <w:pStyle w:val="TDC2"/>
        <w:tabs>
          <w:tab w:val="clear" w:pos="6803"/>
          <w:tab w:val="left" w:pos="567"/>
          <w:tab w:val="right" w:leader="dot" w:pos="8789"/>
        </w:tabs>
        <w:ind w:left="567" w:hanging="369"/>
        <w:jc w:val="left"/>
        <w:rPr>
          <w:rStyle w:val="Hipervnculo"/>
          <w:noProof/>
          <w:color w:val="auto"/>
        </w:rPr>
      </w:pPr>
      <w:r>
        <w:fldChar w:fldCharType="end"/>
      </w:r>
      <w:r w:rsidR="00A715AA" w:rsidRPr="00A715AA">
        <w:rPr>
          <w:rStyle w:val="Hipervnculo"/>
          <w:noProof/>
          <w:color w:val="auto"/>
        </w:rPr>
        <w:t>Notes</w:t>
      </w:r>
      <w:r w:rsidR="00A715AA">
        <w:rPr>
          <w:rStyle w:val="Hipervnculo"/>
          <w:noProof/>
          <w:color w:val="auto"/>
        </w:rPr>
        <w:t xml:space="preserve"> </w:t>
      </w:r>
      <w:r w:rsidR="00A715AA">
        <w:rPr>
          <w:rStyle w:val="Hipervnculo"/>
          <w:noProof/>
          <w:color w:val="auto"/>
        </w:rPr>
        <w:tab/>
        <w:t>249</w:t>
      </w:r>
    </w:p>
    <w:p w:rsidR="00A715AA" w:rsidRPr="00A715AA" w:rsidRDefault="00315185" w:rsidP="00A715AA">
      <w:pPr>
        <w:pStyle w:val="TDC2"/>
        <w:tabs>
          <w:tab w:val="clear" w:pos="6803"/>
          <w:tab w:val="left" w:pos="567"/>
          <w:tab w:val="right" w:leader="dot" w:pos="8789"/>
        </w:tabs>
        <w:ind w:left="567" w:hanging="369"/>
        <w:jc w:val="left"/>
        <w:rPr>
          <w:rStyle w:val="Hipervnculo"/>
          <w:color w:val="auto"/>
        </w:rPr>
      </w:pPr>
      <w:hyperlink w:anchor="_Toc491856771" w:history="1">
        <w:r w:rsidR="00A715AA" w:rsidRPr="00A715AA">
          <w:rPr>
            <w:rStyle w:val="Hipervnculo"/>
            <w:noProof/>
            <w:color w:val="auto"/>
          </w:rPr>
          <w:t>References</w:t>
        </w:r>
        <w:r w:rsidR="00A715AA" w:rsidRPr="00A715AA">
          <w:rPr>
            <w:rStyle w:val="Hipervnculo"/>
            <w:webHidden/>
            <w:color w:val="auto"/>
          </w:rPr>
          <w:tab/>
        </w:r>
      </w:hyperlink>
      <w:r w:rsidR="00A715AA">
        <w:rPr>
          <w:rStyle w:val="Hipervnculo"/>
          <w:noProof/>
          <w:color w:val="auto"/>
        </w:rPr>
        <w:t>251</w:t>
      </w:r>
    </w:p>
    <w:p w:rsidR="001903C7" w:rsidRDefault="001903C7" w:rsidP="00A715AA">
      <w:pPr>
        <w:pStyle w:val="TDC2"/>
        <w:tabs>
          <w:tab w:val="clear" w:pos="6803"/>
          <w:tab w:val="right" w:leader="dot" w:pos="8789"/>
        </w:tabs>
        <w:jc w:val="left"/>
      </w:pPr>
    </w:p>
    <w:p w:rsidR="00425C85" w:rsidRPr="00425C85" w:rsidRDefault="00425C85" w:rsidP="00425C85"/>
    <w:p w:rsidR="001903C7" w:rsidRDefault="001903C7" w:rsidP="00111F7F">
      <w:pPr>
        <w:pStyle w:val="Textodecuerpo"/>
        <w:ind w:left="0" w:right="510" w:firstLine="0"/>
        <w:rPr>
          <w:b/>
          <w:lang w:val="en-GB"/>
        </w:rPr>
      </w:pPr>
      <w:r w:rsidRPr="001903C7">
        <w:rPr>
          <w:b/>
          <w:lang w:val="en-GB"/>
        </w:rPr>
        <w:t>Figures</w:t>
      </w:r>
    </w:p>
    <w:p w:rsidR="004B2E78" w:rsidRDefault="001903C7"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r>
        <w:rPr>
          <w:b/>
        </w:rPr>
        <w:fldChar w:fldCharType="begin"/>
      </w:r>
      <w:r>
        <w:rPr>
          <w:b/>
        </w:rPr>
        <w:instrText xml:space="preserve"> TOC \h \z \t "Figure Title" \c </w:instrText>
      </w:r>
      <w:r>
        <w:rPr>
          <w:b/>
        </w:rPr>
        <w:fldChar w:fldCharType="separate"/>
      </w:r>
      <w:hyperlink w:anchor="_Toc493088634" w:history="1">
        <w:r w:rsidR="004B2E78" w:rsidRPr="00C22046">
          <w:rPr>
            <w:rStyle w:val="Hipervnculo"/>
            <w:noProof/>
            <w:lang w:val="en-US"/>
          </w:rPr>
          <w:t>Figure 1.1. The old-age dependency ratio will almost double in the next 35 years</w:t>
        </w:r>
        <w:r w:rsidR="00111F7F">
          <w:rPr>
            <w:rStyle w:val="Hipervnculo"/>
            <w:noProof/>
            <w:lang w:val="en-US"/>
          </w:rPr>
          <w:br/>
        </w:r>
        <w:r w:rsidR="004B2E78" w:rsidRPr="00C22046">
          <w:rPr>
            <w:rStyle w:val="Hipervnculo"/>
            <w:noProof/>
            <w:lang w:val="en-US"/>
          </w:rPr>
          <w:t>on average</w:t>
        </w:r>
        <w:r w:rsidR="004B2E78">
          <w:rPr>
            <w:noProof/>
            <w:webHidden/>
          </w:rPr>
          <w:tab/>
        </w:r>
        <w:r w:rsidR="004B2E78">
          <w:rPr>
            <w:noProof/>
            <w:webHidden/>
          </w:rPr>
          <w:fldChar w:fldCharType="begin"/>
        </w:r>
        <w:r w:rsidR="004B2E78">
          <w:rPr>
            <w:noProof/>
            <w:webHidden/>
          </w:rPr>
          <w:instrText xml:space="preserve"> PAGEREF _Toc493088634 \h </w:instrText>
        </w:r>
        <w:r w:rsidR="004B2E78">
          <w:rPr>
            <w:noProof/>
            <w:webHidden/>
          </w:rPr>
        </w:r>
        <w:r w:rsidR="004B2E78">
          <w:rPr>
            <w:noProof/>
            <w:webHidden/>
          </w:rPr>
          <w:fldChar w:fldCharType="separate"/>
        </w:r>
        <w:r w:rsidR="00235C4A">
          <w:rPr>
            <w:noProof/>
            <w:webHidden/>
          </w:rPr>
          <w:t>22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35" w:history="1">
        <w:r w:rsidR="004B2E78" w:rsidRPr="00C22046">
          <w:rPr>
            <w:rStyle w:val="Hipervnculo"/>
            <w:noProof/>
          </w:rPr>
          <w:t>Figure 1.2. Life expectancy gaps between high- and low-educated groups at ages 25 and 65</w:t>
        </w:r>
        <w:r w:rsidR="00111F7F">
          <w:rPr>
            <w:rStyle w:val="Hipervnculo"/>
            <w:noProof/>
          </w:rPr>
          <w:br/>
        </w:r>
        <w:r w:rsidR="004B2E78" w:rsidRPr="00C22046">
          <w:rPr>
            <w:rStyle w:val="Hipervnculo"/>
            <w:noProof/>
          </w:rPr>
          <w:t>are large</w:t>
        </w:r>
        <w:r w:rsidR="004B2E78">
          <w:rPr>
            <w:noProof/>
            <w:webHidden/>
          </w:rPr>
          <w:tab/>
        </w:r>
        <w:r w:rsidR="004B2E78">
          <w:rPr>
            <w:noProof/>
            <w:webHidden/>
          </w:rPr>
          <w:fldChar w:fldCharType="begin"/>
        </w:r>
        <w:r w:rsidR="004B2E78">
          <w:rPr>
            <w:noProof/>
            <w:webHidden/>
          </w:rPr>
          <w:instrText xml:space="preserve"> PAGEREF _Toc493088635 \h </w:instrText>
        </w:r>
        <w:r w:rsidR="004B2E78">
          <w:rPr>
            <w:noProof/>
            <w:webHidden/>
          </w:rPr>
        </w:r>
        <w:r w:rsidR="004B2E78">
          <w:rPr>
            <w:noProof/>
            <w:webHidden/>
          </w:rPr>
          <w:fldChar w:fldCharType="separate"/>
        </w:r>
        <w:r w:rsidR="00235C4A">
          <w:rPr>
            <w:noProof/>
            <w:webHidden/>
          </w:rPr>
          <w:t>22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36" w:history="1">
        <w:r w:rsidR="004B2E78" w:rsidRPr="00C22046">
          <w:rPr>
            <w:rStyle w:val="Hipervnculo"/>
            <w:noProof/>
          </w:rPr>
          <w:t>Figure 1.3. Disability increases with age</w:t>
        </w:r>
        <w:r w:rsidR="004B2E78">
          <w:rPr>
            <w:noProof/>
            <w:webHidden/>
          </w:rPr>
          <w:tab/>
        </w:r>
        <w:r w:rsidR="004B2E78">
          <w:rPr>
            <w:noProof/>
            <w:webHidden/>
          </w:rPr>
          <w:fldChar w:fldCharType="begin"/>
        </w:r>
        <w:r w:rsidR="004B2E78">
          <w:rPr>
            <w:noProof/>
            <w:webHidden/>
          </w:rPr>
          <w:instrText xml:space="preserve"> PAGEREF _Toc493088636 \h </w:instrText>
        </w:r>
        <w:r w:rsidR="004B2E78">
          <w:rPr>
            <w:noProof/>
            <w:webHidden/>
          </w:rPr>
        </w:r>
        <w:r w:rsidR="004B2E78">
          <w:rPr>
            <w:noProof/>
            <w:webHidden/>
          </w:rPr>
          <w:fldChar w:fldCharType="separate"/>
        </w:r>
        <w:r w:rsidR="00235C4A">
          <w:rPr>
            <w:noProof/>
            <w:webHidden/>
          </w:rPr>
          <w:t>24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37" w:history="1">
        <w:r w:rsidR="004B2E78" w:rsidRPr="00C22046">
          <w:rPr>
            <w:rStyle w:val="Hipervnculo"/>
            <w:noProof/>
          </w:rPr>
          <w:t>Figure 1.4. Low-educated people are more exposed to disability risks</w:t>
        </w:r>
        <w:r w:rsidR="004B2E78">
          <w:rPr>
            <w:noProof/>
            <w:webHidden/>
          </w:rPr>
          <w:tab/>
        </w:r>
        <w:r w:rsidR="004B2E78">
          <w:rPr>
            <w:noProof/>
            <w:webHidden/>
          </w:rPr>
          <w:fldChar w:fldCharType="begin"/>
        </w:r>
        <w:r w:rsidR="004B2E78">
          <w:rPr>
            <w:noProof/>
            <w:webHidden/>
          </w:rPr>
          <w:instrText xml:space="preserve"> PAGEREF _Toc493088637 \h </w:instrText>
        </w:r>
        <w:r w:rsidR="004B2E78">
          <w:rPr>
            <w:noProof/>
            <w:webHidden/>
          </w:rPr>
        </w:r>
        <w:r w:rsidR="004B2E78">
          <w:rPr>
            <w:noProof/>
            <w:webHidden/>
          </w:rPr>
          <w:fldChar w:fldCharType="separate"/>
        </w:r>
        <w:r w:rsidR="00235C4A">
          <w:rPr>
            <w:noProof/>
            <w:webHidden/>
          </w:rPr>
          <w:t>25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38" w:history="1">
        <w:r w:rsidR="004B2E78" w:rsidRPr="00C22046">
          <w:rPr>
            <w:rStyle w:val="Hipervnculo"/>
            <w:noProof/>
          </w:rPr>
          <w:t>Figure 1.5. Income inequality at the same age has increased from one generation</w:t>
        </w:r>
        <w:r w:rsidR="00111F7F">
          <w:rPr>
            <w:rStyle w:val="Hipervnculo"/>
            <w:noProof/>
          </w:rPr>
          <w:br/>
        </w:r>
        <w:r w:rsidR="004B2E78" w:rsidRPr="00C22046">
          <w:rPr>
            <w:rStyle w:val="Hipervnculo"/>
            <w:noProof/>
          </w:rPr>
          <w:t>to the next in most countries</w:t>
        </w:r>
        <w:r w:rsidR="004B2E78">
          <w:rPr>
            <w:noProof/>
            <w:webHidden/>
          </w:rPr>
          <w:tab/>
        </w:r>
        <w:r w:rsidR="004B2E78">
          <w:rPr>
            <w:noProof/>
            <w:webHidden/>
          </w:rPr>
          <w:fldChar w:fldCharType="begin"/>
        </w:r>
        <w:r w:rsidR="004B2E78">
          <w:rPr>
            <w:noProof/>
            <w:webHidden/>
          </w:rPr>
          <w:instrText xml:space="preserve"> PAGEREF _Toc493088638 \h </w:instrText>
        </w:r>
        <w:r w:rsidR="004B2E78">
          <w:rPr>
            <w:noProof/>
            <w:webHidden/>
          </w:rPr>
        </w:r>
        <w:r w:rsidR="004B2E78">
          <w:rPr>
            <w:noProof/>
            <w:webHidden/>
          </w:rPr>
          <w:fldChar w:fldCharType="separate"/>
        </w:r>
        <w:r w:rsidR="00235C4A">
          <w:rPr>
            <w:noProof/>
            <w:webHidden/>
          </w:rPr>
          <w:t>26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39" w:history="1">
        <w:r w:rsidR="004B2E78" w:rsidRPr="00C22046">
          <w:rPr>
            <w:rStyle w:val="Hipervnculo"/>
            <w:noProof/>
          </w:rPr>
          <w:t>Figure 1.6. Income Gini coefficient by cohort and age groups in four selected countries</w:t>
        </w:r>
        <w:r w:rsidR="004B2E78">
          <w:rPr>
            <w:noProof/>
            <w:webHidden/>
          </w:rPr>
          <w:tab/>
        </w:r>
        <w:r w:rsidR="004B2E78">
          <w:rPr>
            <w:noProof/>
            <w:webHidden/>
          </w:rPr>
          <w:fldChar w:fldCharType="begin"/>
        </w:r>
        <w:r w:rsidR="004B2E78">
          <w:rPr>
            <w:noProof/>
            <w:webHidden/>
          </w:rPr>
          <w:instrText xml:space="preserve"> PAGEREF _Toc493088639 \h </w:instrText>
        </w:r>
        <w:r w:rsidR="004B2E78">
          <w:rPr>
            <w:noProof/>
            <w:webHidden/>
          </w:rPr>
        </w:r>
        <w:r w:rsidR="004B2E78">
          <w:rPr>
            <w:noProof/>
            <w:webHidden/>
          </w:rPr>
          <w:fldChar w:fldCharType="separate"/>
        </w:r>
        <w:r w:rsidR="00235C4A">
          <w:rPr>
            <w:noProof/>
            <w:webHidden/>
          </w:rPr>
          <w:t>27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0" w:history="1">
        <w:r w:rsidR="004B2E78" w:rsidRPr="00C22046">
          <w:rPr>
            <w:rStyle w:val="Hipervnculo"/>
            <w:noProof/>
          </w:rPr>
          <w:t>Figure 1.7. High income inequality for youngest cohorts at the start of their working life</w:t>
        </w:r>
        <w:r w:rsidR="004B2E78">
          <w:rPr>
            <w:noProof/>
            <w:webHidden/>
          </w:rPr>
          <w:tab/>
        </w:r>
        <w:r w:rsidR="004B2E78">
          <w:rPr>
            <w:noProof/>
            <w:webHidden/>
          </w:rPr>
          <w:fldChar w:fldCharType="begin"/>
        </w:r>
        <w:r w:rsidR="004B2E78">
          <w:rPr>
            <w:noProof/>
            <w:webHidden/>
          </w:rPr>
          <w:instrText xml:space="preserve"> PAGEREF _Toc493088640 \h </w:instrText>
        </w:r>
        <w:r w:rsidR="004B2E78">
          <w:rPr>
            <w:noProof/>
            <w:webHidden/>
          </w:rPr>
        </w:r>
        <w:r w:rsidR="004B2E78">
          <w:rPr>
            <w:noProof/>
            <w:webHidden/>
          </w:rPr>
          <w:fldChar w:fldCharType="separate"/>
        </w:r>
        <w:r w:rsidR="00235C4A">
          <w:rPr>
            <w:noProof/>
            <w:webHidden/>
          </w:rPr>
          <w:t>28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noProof/>
        </w:rPr>
      </w:pPr>
      <w:hyperlink w:anchor="_Toc493088641" w:history="1">
        <w:r w:rsidR="004B2E78" w:rsidRPr="00C22046">
          <w:rPr>
            <w:rStyle w:val="Hipervnculo"/>
            <w:noProof/>
          </w:rPr>
          <w:t>Figure 1.8. Real income growth was faster for the older age groups</w:t>
        </w:r>
        <w:r w:rsidR="004B2E78">
          <w:rPr>
            <w:noProof/>
            <w:webHidden/>
          </w:rPr>
          <w:tab/>
        </w:r>
        <w:r w:rsidR="004B2E78">
          <w:rPr>
            <w:noProof/>
            <w:webHidden/>
          </w:rPr>
          <w:fldChar w:fldCharType="begin"/>
        </w:r>
        <w:r w:rsidR="004B2E78">
          <w:rPr>
            <w:noProof/>
            <w:webHidden/>
          </w:rPr>
          <w:instrText xml:space="preserve"> PAGEREF _Toc493088641 \h </w:instrText>
        </w:r>
        <w:r w:rsidR="004B2E78">
          <w:rPr>
            <w:noProof/>
            <w:webHidden/>
          </w:rPr>
        </w:r>
        <w:r w:rsidR="004B2E78">
          <w:rPr>
            <w:noProof/>
            <w:webHidden/>
          </w:rPr>
          <w:fldChar w:fldCharType="separate"/>
        </w:r>
        <w:r w:rsidR="00235C4A">
          <w:rPr>
            <w:noProof/>
            <w:webHidden/>
          </w:rPr>
          <w:t>28</w:t>
        </w:r>
        <w:r w:rsidR="004B2E78">
          <w:rPr>
            <w:noProof/>
            <w:webHidden/>
          </w:rPr>
          <w:fldChar w:fldCharType="end"/>
        </w:r>
      </w:hyperlink>
    </w:p>
    <w:p w:rsidR="00765195" w:rsidRPr="00765195" w:rsidRDefault="00765195" w:rsidP="00765195">
      <w:pPr>
        <w:pStyle w:val="Tabladeilustraciones"/>
        <w:tabs>
          <w:tab w:val="right" w:leader="dot" w:pos="8789"/>
        </w:tabs>
        <w:ind w:left="284" w:right="510" w:hanging="14"/>
        <w:jc w:val="left"/>
        <w:rPr>
          <w:rStyle w:val="Hipervnculo"/>
          <w:noProof/>
          <w:color w:val="auto"/>
        </w:rPr>
      </w:pPr>
      <w:r w:rsidRPr="00765195">
        <w:rPr>
          <w:rStyle w:val="Hipervnculo"/>
          <w:noProof/>
          <w:color w:val="auto"/>
        </w:rPr>
        <w:t>Figure 1.9. Relative poverty rates by age group, 2014 or latest year available</w:t>
      </w:r>
      <w:r>
        <w:rPr>
          <w:rStyle w:val="Hipervnculo"/>
          <w:noProof/>
          <w:color w:val="auto"/>
        </w:rPr>
        <w:t xml:space="preserve"> </w:t>
      </w:r>
      <w:r>
        <w:rPr>
          <w:rStyle w:val="Hipervnculo"/>
          <w:noProof/>
          <w:color w:val="auto"/>
        </w:rPr>
        <w:tab/>
        <w:t>29</w:t>
      </w:r>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2" w:history="1">
        <w:r w:rsidR="004B2E78" w:rsidRPr="00C22046">
          <w:rPr>
            <w:rStyle w:val="Hipervnculo"/>
            <w:noProof/>
          </w:rPr>
          <w:t>Figure 1.10. Income inequality reaches a peak at age 55-59 over the life course</w:t>
        </w:r>
        <w:r w:rsidR="00765195">
          <w:rPr>
            <w:rStyle w:val="Hipervnculo"/>
            <w:noProof/>
          </w:rPr>
          <w:br/>
        </w:r>
        <w:r w:rsidR="004B2E78" w:rsidRPr="00C22046">
          <w:rPr>
            <w:rStyle w:val="Hipervnculo"/>
            <w:noProof/>
          </w:rPr>
          <w:t>for the same generation</w:t>
        </w:r>
        <w:r w:rsidR="004B2E78">
          <w:rPr>
            <w:noProof/>
            <w:webHidden/>
          </w:rPr>
          <w:tab/>
        </w:r>
        <w:r w:rsidR="00765195">
          <w:rPr>
            <w:noProof/>
            <w:webHidden/>
          </w:rPr>
          <w:t>30</w:t>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3" w:history="1">
        <w:r w:rsidR="004B2E78" w:rsidRPr="00C22046">
          <w:rPr>
            <w:rStyle w:val="Hipervnculo"/>
            <w:noProof/>
          </w:rPr>
          <w:t>Figure 1.11. People in bad health work less and earn less at all ages</w:t>
        </w:r>
        <w:r w:rsidR="004B2E78">
          <w:rPr>
            <w:noProof/>
            <w:webHidden/>
          </w:rPr>
          <w:tab/>
        </w:r>
        <w:r w:rsidR="004B2E78">
          <w:rPr>
            <w:noProof/>
            <w:webHidden/>
          </w:rPr>
          <w:fldChar w:fldCharType="begin"/>
        </w:r>
        <w:r w:rsidR="004B2E78">
          <w:rPr>
            <w:noProof/>
            <w:webHidden/>
          </w:rPr>
          <w:instrText xml:space="preserve"> PAGEREF _Toc493088643 \h </w:instrText>
        </w:r>
        <w:r w:rsidR="004B2E78">
          <w:rPr>
            <w:noProof/>
            <w:webHidden/>
          </w:rPr>
        </w:r>
        <w:r w:rsidR="004B2E78">
          <w:rPr>
            <w:noProof/>
            <w:webHidden/>
          </w:rPr>
          <w:fldChar w:fldCharType="separate"/>
        </w:r>
        <w:r w:rsidR="00235C4A">
          <w:rPr>
            <w:noProof/>
            <w:webHidden/>
          </w:rPr>
          <w:t>32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4" w:history="1">
        <w:r w:rsidR="004B2E78" w:rsidRPr="00C22046">
          <w:rPr>
            <w:rStyle w:val="Hipervnculo"/>
            <w:noProof/>
          </w:rPr>
          <w:t>Figure 1.12. Impact of health on lifetime labour earnings by education level</w:t>
        </w:r>
        <w:r w:rsidR="004B2E78">
          <w:rPr>
            <w:noProof/>
            <w:webHidden/>
          </w:rPr>
          <w:tab/>
        </w:r>
        <w:r w:rsidR="004B2E78">
          <w:rPr>
            <w:noProof/>
            <w:webHidden/>
          </w:rPr>
          <w:fldChar w:fldCharType="begin"/>
        </w:r>
        <w:r w:rsidR="004B2E78">
          <w:rPr>
            <w:noProof/>
            <w:webHidden/>
          </w:rPr>
          <w:instrText xml:space="preserve"> PAGEREF _Toc493088644 \h </w:instrText>
        </w:r>
        <w:r w:rsidR="004B2E78">
          <w:rPr>
            <w:noProof/>
            <w:webHidden/>
          </w:rPr>
        </w:r>
        <w:r w:rsidR="004B2E78">
          <w:rPr>
            <w:noProof/>
            <w:webHidden/>
          </w:rPr>
          <w:fldChar w:fldCharType="separate"/>
        </w:r>
        <w:r w:rsidR="00235C4A">
          <w:rPr>
            <w:noProof/>
            <w:webHidden/>
          </w:rPr>
          <w:t>33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5" w:history="1">
        <w:r w:rsidR="004B2E78" w:rsidRPr="00C22046">
          <w:rPr>
            <w:rStyle w:val="Hipervnculo"/>
            <w:noProof/>
          </w:rPr>
          <w:t>Figure 1.13. Employment rates of population aged 55-64 by educational group</w:t>
        </w:r>
        <w:r w:rsidR="004B2E78">
          <w:rPr>
            <w:noProof/>
            <w:webHidden/>
          </w:rPr>
          <w:tab/>
        </w:r>
        <w:r w:rsidR="004B2E78">
          <w:rPr>
            <w:noProof/>
            <w:webHidden/>
          </w:rPr>
          <w:fldChar w:fldCharType="begin"/>
        </w:r>
        <w:r w:rsidR="004B2E78">
          <w:rPr>
            <w:noProof/>
            <w:webHidden/>
          </w:rPr>
          <w:instrText xml:space="preserve"> PAGEREF _Toc493088645 \h </w:instrText>
        </w:r>
        <w:r w:rsidR="004B2E78">
          <w:rPr>
            <w:noProof/>
            <w:webHidden/>
          </w:rPr>
        </w:r>
        <w:r w:rsidR="004B2E78">
          <w:rPr>
            <w:noProof/>
            <w:webHidden/>
          </w:rPr>
          <w:fldChar w:fldCharType="separate"/>
        </w:r>
        <w:r w:rsidR="00235C4A">
          <w:rPr>
            <w:noProof/>
            <w:webHidden/>
          </w:rPr>
          <w:t>34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6" w:history="1">
        <w:r w:rsidR="004B2E78" w:rsidRPr="00C22046">
          <w:rPr>
            <w:rStyle w:val="Hipervnculo"/>
            <w:noProof/>
          </w:rPr>
          <w:t>Figure 1.14. Employment rates by gender across cohorts, at ages 20-24 and 50-54</w:t>
        </w:r>
        <w:r w:rsidR="004B2E78">
          <w:rPr>
            <w:noProof/>
            <w:webHidden/>
          </w:rPr>
          <w:tab/>
        </w:r>
        <w:r w:rsidR="004B2E78">
          <w:rPr>
            <w:noProof/>
            <w:webHidden/>
          </w:rPr>
          <w:fldChar w:fldCharType="begin"/>
        </w:r>
        <w:r w:rsidR="004B2E78">
          <w:rPr>
            <w:noProof/>
            <w:webHidden/>
          </w:rPr>
          <w:instrText xml:space="preserve"> PAGEREF _Toc493088646 \h </w:instrText>
        </w:r>
        <w:r w:rsidR="004B2E78">
          <w:rPr>
            <w:noProof/>
            <w:webHidden/>
          </w:rPr>
        </w:r>
        <w:r w:rsidR="004B2E78">
          <w:rPr>
            <w:noProof/>
            <w:webHidden/>
          </w:rPr>
          <w:fldChar w:fldCharType="separate"/>
        </w:r>
        <w:r w:rsidR="00235C4A">
          <w:rPr>
            <w:noProof/>
            <w:webHidden/>
          </w:rPr>
          <w:t>35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7" w:history="1">
        <w:r w:rsidR="004B2E78" w:rsidRPr="00C22046">
          <w:rPr>
            <w:rStyle w:val="Hipervnculo"/>
            <w:iCs/>
            <w:noProof/>
          </w:rPr>
          <w:t>Figure 1.15. Substantial income gains at the same age across birth cohorts until recently</w:t>
        </w:r>
        <w:r w:rsidR="004B2E78">
          <w:rPr>
            <w:noProof/>
            <w:webHidden/>
          </w:rPr>
          <w:tab/>
        </w:r>
        <w:r w:rsidR="004B2E78">
          <w:rPr>
            <w:noProof/>
            <w:webHidden/>
          </w:rPr>
          <w:fldChar w:fldCharType="begin"/>
        </w:r>
        <w:r w:rsidR="004B2E78">
          <w:rPr>
            <w:noProof/>
            <w:webHidden/>
          </w:rPr>
          <w:instrText xml:space="preserve"> PAGEREF _Toc493088647 \h </w:instrText>
        </w:r>
        <w:r w:rsidR="004B2E78">
          <w:rPr>
            <w:noProof/>
            <w:webHidden/>
          </w:rPr>
        </w:r>
        <w:r w:rsidR="004B2E78">
          <w:rPr>
            <w:noProof/>
            <w:webHidden/>
          </w:rPr>
          <w:fldChar w:fldCharType="separate"/>
        </w:r>
        <w:r w:rsidR="00235C4A">
          <w:rPr>
            <w:noProof/>
            <w:webHidden/>
          </w:rPr>
          <w:t>36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8" w:history="1">
        <w:r w:rsidR="004B2E78" w:rsidRPr="00C22046">
          <w:rPr>
            <w:rStyle w:val="Hipervnculo"/>
            <w:noProof/>
          </w:rPr>
          <w:t>Figure 1.16. Real average income within cohorts diverge after age 50 across countries</w:t>
        </w:r>
        <w:r w:rsidR="004B2E78">
          <w:rPr>
            <w:noProof/>
            <w:webHidden/>
          </w:rPr>
          <w:tab/>
        </w:r>
        <w:r w:rsidR="004B2E78">
          <w:rPr>
            <w:noProof/>
            <w:webHidden/>
          </w:rPr>
          <w:fldChar w:fldCharType="begin"/>
        </w:r>
        <w:r w:rsidR="004B2E78">
          <w:rPr>
            <w:noProof/>
            <w:webHidden/>
          </w:rPr>
          <w:instrText xml:space="preserve"> PAGEREF _Toc493088648 \h </w:instrText>
        </w:r>
        <w:r w:rsidR="004B2E78">
          <w:rPr>
            <w:noProof/>
            <w:webHidden/>
          </w:rPr>
        </w:r>
        <w:r w:rsidR="004B2E78">
          <w:rPr>
            <w:noProof/>
            <w:webHidden/>
          </w:rPr>
          <w:fldChar w:fldCharType="separate"/>
        </w:r>
        <w:r w:rsidR="00235C4A">
          <w:rPr>
            <w:noProof/>
            <w:webHidden/>
          </w:rPr>
          <w:t>37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49" w:history="1">
        <w:r w:rsidR="004B2E78" w:rsidRPr="00C22046">
          <w:rPr>
            <w:rStyle w:val="Hipervnculo"/>
            <w:noProof/>
          </w:rPr>
          <w:t>Figure 1.17. Mean household net wealth in different age groups</w:t>
        </w:r>
        <w:r w:rsidR="004B2E78">
          <w:rPr>
            <w:noProof/>
            <w:webHidden/>
          </w:rPr>
          <w:tab/>
        </w:r>
        <w:r w:rsidR="004B2E78">
          <w:rPr>
            <w:noProof/>
            <w:webHidden/>
          </w:rPr>
          <w:fldChar w:fldCharType="begin"/>
        </w:r>
        <w:r w:rsidR="004B2E78">
          <w:rPr>
            <w:noProof/>
            <w:webHidden/>
          </w:rPr>
          <w:instrText xml:space="preserve"> PAGEREF _Toc493088649 \h </w:instrText>
        </w:r>
        <w:r w:rsidR="004B2E78">
          <w:rPr>
            <w:noProof/>
            <w:webHidden/>
          </w:rPr>
        </w:r>
        <w:r w:rsidR="004B2E78">
          <w:rPr>
            <w:noProof/>
            <w:webHidden/>
          </w:rPr>
          <w:fldChar w:fldCharType="separate"/>
        </w:r>
        <w:r w:rsidR="00235C4A">
          <w:rPr>
            <w:noProof/>
            <w:webHidden/>
          </w:rPr>
          <w:t>38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0" w:history="1">
        <w:r w:rsidR="004B2E78" w:rsidRPr="00C22046">
          <w:rPr>
            <w:rStyle w:val="Hipervnculo"/>
            <w:noProof/>
            <w:lang w:val="en-US"/>
          </w:rPr>
          <w:t>Figure 1.18. Income inequality among those older than 65 years varies widely</w:t>
        </w:r>
        <w:r w:rsidR="00111F7F">
          <w:rPr>
            <w:rStyle w:val="Hipervnculo"/>
            <w:noProof/>
            <w:lang w:val="en-US"/>
          </w:rPr>
          <w:br/>
        </w:r>
        <w:r w:rsidR="004B2E78" w:rsidRPr="00C22046">
          <w:rPr>
            <w:rStyle w:val="Hipervnculo"/>
            <w:noProof/>
            <w:lang w:val="en-US"/>
          </w:rPr>
          <w:t>across countries</w:t>
        </w:r>
        <w:r w:rsidR="004B2E78">
          <w:rPr>
            <w:noProof/>
            <w:webHidden/>
          </w:rPr>
          <w:tab/>
        </w:r>
        <w:r w:rsidR="004B2E78">
          <w:rPr>
            <w:noProof/>
            <w:webHidden/>
          </w:rPr>
          <w:fldChar w:fldCharType="begin"/>
        </w:r>
        <w:r w:rsidR="004B2E78">
          <w:rPr>
            <w:noProof/>
            <w:webHidden/>
          </w:rPr>
          <w:instrText xml:space="preserve"> PAGEREF _Toc493088650 \h </w:instrText>
        </w:r>
        <w:r w:rsidR="004B2E78">
          <w:rPr>
            <w:noProof/>
            <w:webHidden/>
          </w:rPr>
        </w:r>
        <w:r w:rsidR="004B2E78">
          <w:rPr>
            <w:noProof/>
            <w:webHidden/>
          </w:rPr>
          <w:fldChar w:fldCharType="separate"/>
        </w:r>
        <w:r w:rsidR="00235C4A">
          <w:rPr>
            <w:noProof/>
            <w:webHidden/>
          </w:rPr>
          <w:t>39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1" w:history="1">
        <w:r w:rsidR="004B2E78" w:rsidRPr="00C22046">
          <w:rPr>
            <w:rStyle w:val="Hipervnculo"/>
            <w:noProof/>
          </w:rPr>
          <w:t>Figure 1.19. Old-age relative poverty rate and poverty depth, 65+</w:t>
        </w:r>
        <w:r w:rsidR="004B2E78">
          <w:rPr>
            <w:noProof/>
            <w:webHidden/>
          </w:rPr>
          <w:tab/>
        </w:r>
        <w:r w:rsidR="004B2E78">
          <w:rPr>
            <w:noProof/>
            <w:webHidden/>
          </w:rPr>
          <w:fldChar w:fldCharType="begin"/>
        </w:r>
        <w:r w:rsidR="004B2E78">
          <w:rPr>
            <w:noProof/>
            <w:webHidden/>
          </w:rPr>
          <w:instrText xml:space="preserve"> PAGEREF _Toc493088651 \h </w:instrText>
        </w:r>
        <w:r w:rsidR="004B2E78">
          <w:rPr>
            <w:noProof/>
            <w:webHidden/>
          </w:rPr>
        </w:r>
        <w:r w:rsidR="004B2E78">
          <w:rPr>
            <w:noProof/>
            <w:webHidden/>
          </w:rPr>
          <w:fldChar w:fldCharType="separate"/>
        </w:r>
        <w:r w:rsidR="00235C4A">
          <w:rPr>
            <w:noProof/>
            <w:webHidden/>
          </w:rPr>
          <w:t>40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2" w:history="1">
        <w:r w:rsidR="004B2E78" w:rsidRPr="00C22046">
          <w:rPr>
            <w:rStyle w:val="Hipervnculo"/>
            <w:noProof/>
          </w:rPr>
          <w:t>Figure 1.20. Impact of an increase in wage inequality on pension inequality</w:t>
        </w:r>
        <w:r w:rsidR="004B2E78">
          <w:rPr>
            <w:noProof/>
            <w:webHidden/>
          </w:rPr>
          <w:tab/>
        </w:r>
        <w:r w:rsidR="004B2E78">
          <w:rPr>
            <w:noProof/>
            <w:webHidden/>
          </w:rPr>
          <w:fldChar w:fldCharType="begin"/>
        </w:r>
        <w:r w:rsidR="004B2E78">
          <w:rPr>
            <w:noProof/>
            <w:webHidden/>
          </w:rPr>
          <w:instrText xml:space="preserve"> PAGEREF _Toc493088652 \h </w:instrText>
        </w:r>
        <w:r w:rsidR="004B2E78">
          <w:rPr>
            <w:noProof/>
            <w:webHidden/>
          </w:rPr>
        </w:r>
        <w:r w:rsidR="004B2E78">
          <w:rPr>
            <w:noProof/>
            <w:webHidden/>
          </w:rPr>
          <w:fldChar w:fldCharType="separate"/>
        </w:r>
        <w:r w:rsidR="00235C4A">
          <w:rPr>
            <w:noProof/>
            <w:webHidden/>
          </w:rPr>
          <w:t>41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3" w:history="1">
        <w:r w:rsidR="004B2E78" w:rsidRPr="00C22046">
          <w:rPr>
            <w:rStyle w:val="Hipervnculo"/>
            <w:noProof/>
          </w:rPr>
          <w:t>Figure 1.21. Loss in pension benefits due to incomplete careers, average-wage workers</w:t>
        </w:r>
        <w:r w:rsidR="004B2E78">
          <w:rPr>
            <w:noProof/>
            <w:webHidden/>
          </w:rPr>
          <w:tab/>
        </w:r>
        <w:r w:rsidR="004B2E78">
          <w:rPr>
            <w:noProof/>
            <w:webHidden/>
          </w:rPr>
          <w:fldChar w:fldCharType="begin"/>
        </w:r>
        <w:r w:rsidR="004B2E78">
          <w:rPr>
            <w:noProof/>
            <w:webHidden/>
          </w:rPr>
          <w:instrText xml:space="preserve"> PAGEREF _Toc493088653 \h </w:instrText>
        </w:r>
        <w:r w:rsidR="004B2E78">
          <w:rPr>
            <w:noProof/>
            <w:webHidden/>
          </w:rPr>
        </w:r>
        <w:r w:rsidR="004B2E78">
          <w:rPr>
            <w:noProof/>
            <w:webHidden/>
          </w:rPr>
          <w:fldChar w:fldCharType="separate"/>
        </w:r>
        <w:r w:rsidR="00235C4A">
          <w:rPr>
            <w:noProof/>
            <w:webHidden/>
          </w:rPr>
          <w:t>42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4" w:history="1">
        <w:r w:rsidR="004B2E78" w:rsidRPr="00C22046">
          <w:rPr>
            <w:rStyle w:val="Hipervnculo"/>
            <w:iCs/>
            <w:noProof/>
          </w:rPr>
          <w:t>Figure 1.22. Regional disparity (TL2) in the number of active physicians per 1 000 older people, 2013</w:t>
        </w:r>
        <w:r w:rsidR="004B2E78">
          <w:rPr>
            <w:noProof/>
            <w:webHidden/>
          </w:rPr>
          <w:tab/>
        </w:r>
        <w:r w:rsidR="004B2E78">
          <w:rPr>
            <w:noProof/>
            <w:webHidden/>
          </w:rPr>
          <w:fldChar w:fldCharType="begin"/>
        </w:r>
        <w:r w:rsidR="004B2E78">
          <w:rPr>
            <w:noProof/>
            <w:webHidden/>
          </w:rPr>
          <w:instrText xml:space="preserve"> PAGEREF _Toc493088654 \h </w:instrText>
        </w:r>
        <w:r w:rsidR="004B2E78">
          <w:rPr>
            <w:noProof/>
            <w:webHidden/>
          </w:rPr>
        </w:r>
        <w:r w:rsidR="004B2E78">
          <w:rPr>
            <w:noProof/>
            <w:webHidden/>
          </w:rPr>
          <w:fldChar w:fldCharType="separate"/>
        </w:r>
        <w:r w:rsidR="00235C4A">
          <w:rPr>
            <w:noProof/>
            <w:webHidden/>
          </w:rPr>
          <w:t>43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5" w:history="1">
        <w:r w:rsidR="004B2E78" w:rsidRPr="00C22046">
          <w:rPr>
            <w:rStyle w:val="Hipervnculo"/>
            <w:noProof/>
          </w:rPr>
          <w:t>Figure 1.23. Poverty rates of the 80+ by family living arrangements</w:t>
        </w:r>
        <w:r w:rsidR="004B2E78">
          <w:rPr>
            <w:noProof/>
            <w:webHidden/>
          </w:rPr>
          <w:tab/>
        </w:r>
        <w:r w:rsidR="004B2E78">
          <w:rPr>
            <w:noProof/>
            <w:webHidden/>
          </w:rPr>
          <w:fldChar w:fldCharType="begin"/>
        </w:r>
        <w:r w:rsidR="004B2E78">
          <w:rPr>
            <w:noProof/>
            <w:webHidden/>
          </w:rPr>
          <w:instrText xml:space="preserve"> PAGEREF _Toc493088655 \h </w:instrText>
        </w:r>
        <w:r w:rsidR="004B2E78">
          <w:rPr>
            <w:noProof/>
            <w:webHidden/>
          </w:rPr>
        </w:r>
        <w:r w:rsidR="004B2E78">
          <w:rPr>
            <w:noProof/>
            <w:webHidden/>
          </w:rPr>
          <w:fldChar w:fldCharType="separate"/>
        </w:r>
        <w:r w:rsidR="00235C4A">
          <w:rPr>
            <w:noProof/>
            <w:webHidden/>
          </w:rPr>
          <w:t>45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6" w:history="1">
        <w:r w:rsidR="004B2E78" w:rsidRPr="00C22046">
          <w:rPr>
            <w:rStyle w:val="Hipervnculo"/>
            <w:noProof/>
          </w:rPr>
          <w:t>Figure 1.24. Disposable income before and after care costs for people receiving home care</w:t>
        </w:r>
        <w:r w:rsidR="00111F7F">
          <w:rPr>
            <w:rStyle w:val="Hipervnculo"/>
            <w:noProof/>
          </w:rPr>
          <w:br/>
        </w:r>
        <w:r w:rsidR="004B2E78" w:rsidRPr="00C22046">
          <w:rPr>
            <w:rStyle w:val="Hipervnculo"/>
            <w:noProof/>
          </w:rPr>
          <w:t>for moderate needs in OECD countries, as a percentage of the relative poverty threshold</w:t>
        </w:r>
        <w:r w:rsidR="004B2E78">
          <w:rPr>
            <w:noProof/>
            <w:webHidden/>
          </w:rPr>
          <w:tab/>
        </w:r>
        <w:r w:rsidR="004B2E78">
          <w:rPr>
            <w:noProof/>
            <w:webHidden/>
          </w:rPr>
          <w:fldChar w:fldCharType="begin"/>
        </w:r>
        <w:r w:rsidR="004B2E78">
          <w:rPr>
            <w:noProof/>
            <w:webHidden/>
          </w:rPr>
          <w:instrText xml:space="preserve"> PAGEREF _Toc493088656 \h </w:instrText>
        </w:r>
        <w:r w:rsidR="004B2E78">
          <w:rPr>
            <w:noProof/>
            <w:webHidden/>
          </w:rPr>
        </w:r>
        <w:r w:rsidR="004B2E78">
          <w:rPr>
            <w:noProof/>
            <w:webHidden/>
          </w:rPr>
          <w:fldChar w:fldCharType="separate"/>
        </w:r>
        <w:r w:rsidR="00235C4A">
          <w:rPr>
            <w:noProof/>
            <w:webHidden/>
          </w:rPr>
          <w:t>46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7" w:history="1">
        <w:r w:rsidR="004B2E78" w:rsidRPr="00C22046">
          <w:rPr>
            <w:rStyle w:val="Hipervnculo"/>
            <w:noProof/>
          </w:rPr>
          <w:t>Figure 2.1. Health worsens with age</w:t>
        </w:r>
        <w:r w:rsidR="004B2E78">
          <w:rPr>
            <w:noProof/>
            <w:webHidden/>
          </w:rPr>
          <w:tab/>
        </w:r>
        <w:r w:rsidR="004B2E78">
          <w:rPr>
            <w:noProof/>
            <w:webHidden/>
          </w:rPr>
          <w:fldChar w:fldCharType="begin"/>
        </w:r>
        <w:r w:rsidR="004B2E78">
          <w:rPr>
            <w:noProof/>
            <w:webHidden/>
          </w:rPr>
          <w:instrText xml:space="preserve"> PAGEREF _Toc493088657 \h </w:instrText>
        </w:r>
        <w:r w:rsidR="004B2E78">
          <w:rPr>
            <w:noProof/>
            <w:webHidden/>
          </w:rPr>
        </w:r>
        <w:r w:rsidR="004B2E78">
          <w:rPr>
            <w:noProof/>
            <w:webHidden/>
          </w:rPr>
          <w:fldChar w:fldCharType="separate"/>
        </w:r>
        <w:r w:rsidR="00235C4A">
          <w:rPr>
            <w:noProof/>
            <w:webHidden/>
          </w:rPr>
          <w:t>77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58" w:history="1">
        <w:r w:rsidR="004B2E78" w:rsidRPr="00C22046">
          <w:rPr>
            <w:rStyle w:val="Hipervnculo"/>
            <w:noProof/>
          </w:rPr>
          <w:t>Figure 2.2. Employment rates and earnings are lower for individuals in bad health</w:t>
        </w:r>
        <w:r w:rsidR="004B2E78">
          <w:rPr>
            <w:noProof/>
            <w:webHidden/>
          </w:rPr>
          <w:tab/>
        </w:r>
        <w:r w:rsidR="004B2E78">
          <w:rPr>
            <w:noProof/>
            <w:webHidden/>
          </w:rPr>
          <w:fldChar w:fldCharType="begin"/>
        </w:r>
        <w:r w:rsidR="004B2E78">
          <w:rPr>
            <w:noProof/>
            <w:webHidden/>
          </w:rPr>
          <w:instrText xml:space="preserve"> PAGEREF _Toc493088658 \h </w:instrText>
        </w:r>
        <w:r w:rsidR="004B2E78">
          <w:rPr>
            <w:noProof/>
            <w:webHidden/>
          </w:rPr>
        </w:r>
        <w:r w:rsidR="004B2E78">
          <w:rPr>
            <w:noProof/>
            <w:webHidden/>
          </w:rPr>
          <w:fldChar w:fldCharType="separate"/>
        </w:r>
        <w:r w:rsidR="00235C4A">
          <w:rPr>
            <w:noProof/>
            <w:webHidden/>
          </w:rPr>
          <w:t>78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0" w:history="1">
        <w:r w:rsidR="004B2E78" w:rsidRPr="00C22046">
          <w:rPr>
            <w:rStyle w:val="Hipervnculo"/>
            <w:noProof/>
          </w:rPr>
          <w:t>Figure 2.3. Health-related gaps widen in the second half of the career for employment</w:t>
        </w:r>
        <w:r w:rsidR="00111F7F">
          <w:rPr>
            <w:rStyle w:val="Hipervnculo"/>
            <w:noProof/>
          </w:rPr>
          <w:br/>
        </w:r>
        <w:r w:rsidR="004B2E78" w:rsidRPr="00C22046">
          <w:rPr>
            <w:rStyle w:val="Hipervnculo"/>
            <w:noProof/>
          </w:rPr>
          <w:t>but early for wages</w:t>
        </w:r>
        <w:r w:rsidR="004B2E78">
          <w:rPr>
            <w:noProof/>
            <w:webHidden/>
          </w:rPr>
          <w:tab/>
        </w:r>
        <w:r w:rsidR="004B2E78">
          <w:rPr>
            <w:noProof/>
            <w:webHidden/>
          </w:rPr>
          <w:fldChar w:fldCharType="begin"/>
        </w:r>
        <w:r w:rsidR="004B2E78">
          <w:rPr>
            <w:noProof/>
            <w:webHidden/>
          </w:rPr>
          <w:instrText xml:space="preserve"> PAGEREF _Toc493088660 \h </w:instrText>
        </w:r>
        <w:r w:rsidR="004B2E78">
          <w:rPr>
            <w:noProof/>
            <w:webHidden/>
          </w:rPr>
        </w:r>
        <w:r w:rsidR="004B2E78">
          <w:rPr>
            <w:noProof/>
            <w:webHidden/>
          </w:rPr>
          <w:fldChar w:fldCharType="separate"/>
        </w:r>
        <w:r w:rsidR="00235C4A">
          <w:rPr>
            <w:noProof/>
            <w:webHidden/>
          </w:rPr>
          <w:t>79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1" w:history="1">
        <w:r w:rsidR="004B2E78" w:rsidRPr="00C22046">
          <w:rPr>
            <w:rStyle w:val="Hipervnculo"/>
            <w:noProof/>
          </w:rPr>
          <w:t>Figure 2.4. Health-related employment gaps are larger among the low educated</w:t>
        </w:r>
        <w:r w:rsidR="004B2E78">
          <w:rPr>
            <w:noProof/>
            <w:webHidden/>
          </w:rPr>
          <w:tab/>
        </w:r>
        <w:r w:rsidR="004B2E78">
          <w:rPr>
            <w:noProof/>
            <w:webHidden/>
          </w:rPr>
          <w:fldChar w:fldCharType="begin"/>
        </w:r>
        <w:r w:rsidR="004B2E78">
          <w:rPr>
            <w:noProof/>
            <w:webHidden/>
          </w:rPr>
          <w:instrText xml:space="preserve"> PAGEREF _Toc493088661 \h </w:instrText>
        </w:r>
        <w:r w:rsidR="004B2E78">
          <w:rPr>
            <w:noProof/>
            <w:webHidden/>
          </w:rPr>
        </w:r>
        <w:r w:rsidR="004B2E78">
          <w:rPr>
            <w:noProof/>
            <w:webHidden/>
          </w:rPr>
          <w:fldChar w:fldCharType="separate"/>
        </w:r>
        <w:r w:rsidR="00235C4A">
          <w:rPr>
            <w:noProof/>
            <w:webHidden/>
          </w:rPr>
          <w:t>80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2" w:history="1">
        <w:r w:rsidR="004B2E78" w:rsidRPr="00C22046">
          <w:rPr>
            <w:rStyle w:val="Hipervnculo"/>
            <w:noProof/>
          </w:rPr>
          <w:t>Figure 2.5. Effects of bad health on men’s earnings accounting for the risk to employment,</w:t>
        </w:r>
        <w:r w:rsidR="00111F7F">
          <w:rPr>
            <w:rStyle w:val="Hipervnculo"/>
            <w:noProof/>
          </w:rPr>
          <w:br/>
        </w:r>
        <w:r w:rsidR="004B2E78" w:rsidRPr="00C22046">
          <w:rPr>
            <w:rStyle w:val="Hipervnculo"/>
            <w:noProof/>
          </w:rPr>
          <w:t>by education level</w:t>
        </w:r>
        <w:r w:rsidR="004B2E78">
          <w:rPr>
            <w:noProof/>
            <w:webHidden/>
          </w:rPr>
          <w:tab/>
        </w:r>
        <w:r w:rsidR="004B2E78">
          <w:rPr>
            <w:noProof/>
            <w:webHidden/>
          </w:rPr>
          <w:fldChar w:fldCharType="begin"/>
        </w:r>
        <w:r w:rsidR="004B2E78">
          <w:rPr>
            <w:noProof/>
            <w:webHidden/>
          </w:rPr>
          <w:instrText xml:space="preserve"> PAGEREF _Toc493088662 \h </w:instrText>
        </w:r>
        <w:r w:rsidR="004B2E78">
          <w:rPr>
            <w:noProof/>
            <w:webHidden/>
          </w:rPr>
        </w:r>
        <w:r w:rsidR="004B2E78">
          <w:rPr>
            <w:noProof/>
            <w:webHidden/>
          </w:rPr>
          <w:fldChar w:fldCharType="separate"/>
        </w:r>
        <w:r w:rsidR="00235C4A">
          <w:rPr>
            <w:noProof/>
            <w:webHidden/>
          </w:rPr>
          <w:t>82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3" w:history="1">
        <w:r w:rsidR="004B2E78" w:rsidRPr="00C22046">
          <w:rPr>
            <w:rStyle w:val="Hipervnculo"/>
            <w:noProof/>
          </w:rPr>
          <w:t>Figure 2.6. Extra years of life expectancy have been largely in good health</w:t>
        </w:r>
        <w:r w:rsidR="004B2E78">
          <w:rPr>
            <w:noProof/>
            <w:webHidden/>
          </w:rPr>
          <w:tab/>
        </w:r>
        <w:r w:rsidR="004B2E78">
          <w:rPr>
            <w:noProof/>
            <w:webHidden/>
          </w:rPr>
          <w:fldChar w:fldCharType="begin"/>
        </w:r>
        <w:r w:rsidR="004B2E78">
          <w:rPr>
            <w:noProof/>
            <w:webHidden/>
          </w:rPr>
          <w:instrText xml:space="preserve"> PAGEREF _Toc493088663 \h </w:instrText>
        </w:r>
        <w:r w:rsidR="004B2E78">
          <w:rPr>
            <w:noProof/>
            <w:webHidden/>
          </w:rPr>
        </w:r>
        <w:r w:rsidR="004B2E78">
          <w:rPr>
            <w:noProof/>
            <w:webHidden/>
          </w:rPr>
          <w:fldChar w:fldCharType="separate"/>
        </w:r>
        <w:r w:rsidR="00235C4A">
          <w:rPr>
            <w:noProof/>
            <w:webHidden/>
          </w:rPr>
          <w:t>84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4" w:history="1">
        <w:r w:rsidR="004B2E78" w:rsidRPr="00C22046">
          <w:rPr>
            <w:rStyle w:val="Hipervnculo"/>
            <w:noProof/>
          </w:rPr>
          <w:t>Figure 2.7. The share of healthy life years in remaining life expectancy at the age of 50</w:t>
        </w:r>
        <w:r w:rsidR="00111F7F">
          <w:rPr>
            <w:rStyle w:val="Hipervnculo"/>
            <w:noProof/>
          </w:rPr>
          <w:br/>
        </w:r>
        <w:r w:rsidR="004B2E78" w:rsidRPr="00C22046">
          <w:rPr>
            <w:rStyle w:val="Hipervnculo"/>
            <w:noProof/>
          </w:rPr>
          <w:t>has been broadly stable</w:t>
        </w:r>
        <w:r w:rsidR="004B2E78">
          <w:rPr>
            <w:noProof/>
            <w:webHidden/>
          </w:rPr>
          <w:tab/>
        </w:r>
        <w:r w:rsidR="004B2E78">
          <w:rPr>
            <w:noProof/>
            <w:webHidden/>
          </w:rPr>
          <w:fldChar w:fldCharType="begin"/>
        </w:r>
        <w:r w:rsidR="004B2E78">
          <w:rPr>
            <w:noProof/>
            <w:webHidden/>
          </w:rPr>
          <w:instrText xml:space="preserve"> PAGEREF _Toc493088664 \h </w:instrText>
        </w:r>
        <w:r w:rsidR="004B2E78">
          <w:rPr>
            <w:noProof/>
            <w:webHidden/>
          </w:rPr>
        </w:r>
        <w:r w:rsidR="004B2E78">
          <w:rPr>
            <w:noProof/>
            <w:webHidden/>
          </w:rPr>
          <w:fldChar w:fldCharType="separate"/>
        </w:r>
        <w:r w:rsidR="00235C4A">
          <w:rPr>
            <w:noProof/>
            <w:webHidden/>
          </w:rPr>
          <w:t>85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5" w:history="1">
        <w:r w:rsidR="004B2E78" w:rsidRPr="00C22046">
          <w:rPr>
            <w:rStyle w:val="Hipervnculo"/>
            <w:noProof/>
          </w:rPr>
          <w:t>Figure 2.8. Disability rates among 50-to-64 year-olds and the 65-and-over</w:t>
        </w:r>
        <w:r w:rsidR="004B2E78">
          <w:rPr>
            <w:noProof/>
            <w:webHidden/>
          </w:rPr>
          <w:tab/>
        </w:r>
        <w:r w:rsidR="004B2E78">
          <w:rPr>
            <w:noProof/>
            <w:webHidden/>
          </w:rPr>
          <w:fldChar w:fldCharType="begin"/>
        </w:r>
        <w:r w:rsidR="004B2E78">
          <w:rPr>
            <w:noProof/>
            <w:webHidden/>
          </w:rPr>
          <w:instrText xml:space="preserve"> PAGEREF _Toc493088665 \h </w:instrText>
        </w:r>
        <w:r w:rsidR="004B2E78">
          <w:rPr>
            <w:noProof/>
            <w:webHidden/>
          </w:rPr>
        </w:r>
        <w:r w:rsidR="004B2E78">
          <w:rPr>
            <w:noProof/>
            <w:webHidden/>
          </w:rPr>
          <w:fldChar w:fldCharType="separate"/>
        </w:r>
        <w:r w:rsidR="00235C4A">
          <w:rPr>
            <w:noProof/>
            <w:webHidden/>
          </w:rPr>
          <w:t>88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6" w:history="1">
        <w:r w:rsidR="004B2E78" w:rsidRPr="00C22046">
          <w:rPr>
            <w:rStyle w:val="Hipervnculo"/>
            <w:noProof/>
          </w:rPr>
          <w:t>Figure 2.9. Low-educated have a higher risk of disability</w:t>
        </w:r>
        <w:r w:rsidR="004B2E78">
          <w:rPr>
            <w:noProof/>
            <w:webHidden/>
          </w:rPr>
          <w:tab/>
        </w:r>
        <w:r w:rsidR="004B2E78">
          <w:rPr>
            <w:noProof/>
            <w:webHidden/>
          </w:rPr>
          <w:fldChar w:fldCharType="begin"/>
        </w:r>
        <w:r w:rsidR="004B2E78">
          <w:rPr>
            <w:noProof/>
            <w:webHidden/>
          </w:rPr>
          <w:instrText xml:space="preserve"> PAGEREF _Toc493088666 \h </w:instrText>
        </w:r>
        <w:r w:rsidR="004B2E78">
          <w:rPr>
            <w:noProof/>
            <w:webHidden/>
          </w:rPr>
        </w:r>
        <w:r w:rsidR="004B2E78">
          <w:rPr>
            <w:noProof/>
            <w:webHidden/>
          </w:rPr>
          <w:fldChar w:fldCharType="separate"/>
        </w:r>
        <w:r w:rsidR="00235C4A">
          <w:rPr>
            <w:noProof/>
            <w:webHidden/>
          </w:rPr>
          <w:t>89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7" w:history="1">
        <w:r w:rsidR="004B2E78" w:rsidRPr="00C22046">
          <w:rPr>
            <w:rStyle w:val="Hipervnculo"/>
            <w:noProof/>
          </w:rPr>
          <w:t>Figure 2.10. Selected trends in disability by level of education, gender and age group</w:t>
        </w:r>
        <w:r w:rsidR="004B2E78">
          <w:rPr>
            <w:noProof/>
            <w:webHidden/>
          </w:rPr>
          <w:tab/>
        </w:r>
        <w:r w:rsidR="004B2E78">
          <w:rPr>
            <w:noProof/>
            <w:webHidden/>
          </w:rPr>
          <w:fldChar w:fldCharType="begin"/>
        </w:r>
        <w:r w:rsidR="004B2E78">
          <w:rPr>
            <w:noProof/>
            <w:webHidden/>
          </w:rPr>
          <w:instrText xml:space="preserve"> PAGEREF _Toc493088667 \h </w:instrText>
        </w:r>
        <w:r w:rsidR="004B2E78">
          <w:rPr>
            <w:noProof/>
            <w:webHidden/>
          </w:rPr>
        </w:r>
        <w:r w:rsidR="004B2E78">
          <w:rPr>
            <w:noProof/>
            <w:webHidden/>
          </w:rPr>
          <w:fldChar w:fldCharType="separate"/>
        </w:r>
        <w:r w:rsidR="00235C4A">
          <w:rPr>
            <w:noProof/>
            <w:webHidden/>
          </w:rPr>
          <w:t>91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8" w:history="1">
        <w:r w:rsidR="004B2E78" w:rsidRPr="00C22046">
          <w:rPr>
            <w:rStyle w:val="Hipervnculo"/>
            <w:noProof/>
          </w:rPr>
          <w:t>Figure 2.11. Large emerging economies are rapidly ageing at early stages of development</w:t>
        </w:r>
        <w:r w:rsidR="004B2E78">
          <w:rPr>
            <w:noProof/>
            <w:webHidden/>
          </w:rPr>
          <w:tab/>
        </w:r>
        <w:r w:rsidR="004B2E78">
          <w:rPr>
            <w:noProof/>
            <w:webHidden/>
          </w:rPr>
          <w:fldChar w:fldCharType="begin"/>
        </w:r>
        <w:r w:rsidR="004B2E78">
          <w:rPr>
            <w:noProof/>
            <w:webHidden/>
          </w:rPr>
          <w:instrText xml:space="preserve"> PAGEREF _Toc493088668 \h </w:instrText>
        </w:r>
        <w:r w:rsidR="004B2E78">
          <w:rPr>
            <w:noProof/>
            <w:webHidden/>
          </w:rPr>
        </w:r>
        <w:r w:rsidR="004B2E78">
          <w:rPr>
            <w:noProof/>
            <w:webHidden/>
          </w:rPr>
          <w:fldChar w:fldCharType="separate"/>
        </w:r>
        <w:r w:rsidR="00235C4A">
          <w:rPr>
            <w:noProof/>
            <w:webHidden/>
          </w:rPr>
          <w:t>93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69" w:history="1">
        <w:r w:rsidR="004B2E78" w:rsidRPr="00C22046">
          <w:rPr>
            <w:rStyle w:val="Hipervnculo"/>
            <w:noProof/>
          </w:rPr>
          <w:t>Figure 2.12. Income inequality is very large in G20 non-OECD countries</w:t>
        </w:r>
        <w:r w:rsidR="004B2E78">
          <w:rPr>
            <w:noProof/>
            <w:webHidden/>
          </w:rPr>
          <w:tab/>
        </w:r>
        <w:r w:rsidR="004B2E78">
          <w:rPr>
            <w:noProof/>
            <w:webHidden/>
          </w:rPr>
          <w:fldChar w:fldCharType="begin"/>
        </w:r>
        <w:r w:rsidR="004B2E78">
          <w:rPr>
            <w:noProof/>
            <w:webHidden/>
          </w:rPr>
          <w:instrText xml:space="preserve"> PAGEREF _Toc493088669 \h </w:instrText>
        </w:r>
        <w:r w:rsidR="004B2E78">
          <w:rPr>
            <w:noProof/>
            <w:webHidden/>
          </w:rPr>
        </w:r>
        <w:r w:rsidR="004B2E78">
          <w:rPr>
            <w:noProof/>
            <w:webHidden/>
          </w:rPr>
          <w:fldChar w:fldCharType="separate"/>
        </w:r>
        <w:r w:rsidR="00235C4A">
          <w:rPr>
            <w:noProof/>
            <w:webHidden/>
          </w:rPr>
          <w:t>94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0" w:history="1">
        <w:r w:rsidR="004B2E78" w:rsidRPr="00C22046">
          <w:rPr>
            <w:rStyle w:val="Hipervnculo"/>
            <w:noProof/>
          </w:rPr>
          <w:t>Figure 2.13. Disability rates are high in China, especially among those older than 65 years</w:t>
        </w:r>
        <w:r w:rsidR="004B2E78">
          <w:rPr>
            <w:noProof/>
            <w:webHidden/>
          </w:rPr>
          <w:tab/>
        </w:r>
        <w:r w:rsidR="004B2E78">
          <w:rPr>
            <w:noProof/>
            <w:webHidden/>
          </w:rPr>
          <w:fldChar w:fldCharType="begin"/>
        </w:r>
        <w:r w:rsidR="004B2E78">
          <w:rPr>
            <w:noProof/>
            <w:webHidden/>
          </w:rPr>
          <w:instrText xml:space="preserve"> PAGEREF _Toc493088670 \h </w:instrText>
        </w:r>
        <w:r w:rsidR="004B2E78">
          <w:rPr>
            <w:noProof/>
            <w:webHidden/>
          </w:rPr>
        </w:r>
        <w:r w:rsidR="004B2E78">
          <w:rPr>
            <w:noProof/>
            <w:webHidden/>
          </w:rPr>
          <w:fldChar w:fldCharType="separate"/>
        </w:r>
        <w:r w:rsidR="00235C4A">
          <w:rPr>
            <w:noProof/>
            <w:webHidden/>
          </w:rPr>
          <w:t>95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1" w:history="1">
        <w:r w:rsidR="004B2E78" w:rsidRPr="00C22046">
          <w:rPr>
            <w:rStyle w:val="Hipervnculo"/>
            <w:noProof/>
          </w:rPr>
          <w:t>Figure 2.14. Effects of education, wealth, location and employment on health in China,</w:t>
        </w:r>
        <w:r w:rsidR="00111F7F">
          <w:rPr>
            <w:rStyle w:val="Hipervnculo"/>
            <w:noProof/>
          </w:rPr>
          <w:br/>
        </w:r>
        <w:r w:rsidR="004B2E78" w:rsidRPr="00C22046">
          <w:rPr>
            <w:rStyle w:val="Hipervnculo"/>
            <w:noProof/>
          </w:rPr>
          <w:t>Indonesia and OECD countries by gender</w:t>
        </w:r>
        <w:r w:rsidR="004B2E78">
          <w:rPr>
            <w:noProof/>
            <w:webHidden/>
          </w:rPr>
          <w:tab/>
        </w:r>
        <w:r w:rsidR="004B2E78">
          <w:rPr>
            <w:noProof/>
            <w:webHidden/>
          </w:rPr>
          <w:fldChar w:fldCharType="begin"/>
        </w:r>
        <w:r w:rsidR="004B2E78">
          <w:rPr>
            <w:noProof/>
            <w:webHidden/>
          </w:rPr>
          <w:instrText xml:space="preserve"> PAGEREF _Toc493088671 \h </w:instrText>
        </w:r>
        <w:r w:rsidR="004B2E78">
          <w:rPr>
            <w:noProof/>
            <w:webHidden/>
          </w:rPr>
        </w:r>
        <w:r w:rsidR="004B2E78">
          <w:rPr>
            <w:noProof/>
            <w:webHidden/>
          </w:rPr>
          <w:fldChar w:fldCharType="separate"/>
        </w:r>
        <w:r w:rsidR="00235C4A">
          <w:rPr>
            <w:noProof/>
            <w:webHidden/>
          </w:rPr>
          <w:t>97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2" w:history="1">
        <w:r w:rsidR="004B2E78" w:rsidRPr="00C22046">
          <w:rPr>
            <w:rStyle w:val="Hipervnculo"/>
            <w:noProof/>
          </w:rPr>
          <w:t>Figure 2.15. Effects of gender, location, wealth and employment on health in China,</w:t>
        </w:r>
        <w:r w:rsidR="00111F7F">
          <w:rPr>
            <w:rStyle w:val="Hipervnculo"/>
            <w:noProof/>
          </w:rPr>
          <w:br/>
        </w:r>
        <w:r w:rsidR="004B2E78" w:rsidRPr="00C22046">
          <w:rPr>
            <w:rStyle w:val="Hipervnculo"/>
            <w:noProof/>
          </w:rPr>
          <w:t>Indonesia and OECD countries by level of education</w:t>
        </w:r>
        <w:r w:rsidR="004B2E78">
          <w:rPr>
            <w:noProof/>
            <w:webHidden/>
          </w:rPr>
          <w:tab/>
        </w:r>
        <w:r w:rsidR="004B2E78">
          <w:rPr>
            <w:noProof/>
            <w:webHidden/>
          </w:rPr>
          <w:fldChar w:fldCharType="begin"/>
        </w:r>
        <w:r w:rsidR="004B2E78">
          <w:rPr>
            <w:noProof/>
            <w:webHidden/>
          </w:rPr>
          <w:instrText xml:space="preserve"> PAGEREF _Toc493088672 \h </w:instrText>
        </w:r>
        <w:r w:rsidR="004B2E78">
          <w:rPr>
            <w:noProof/>
            <w:webHidden/>
          </w:rPr>
        </w:r>
        <w:r w:rsidR="004B2E78">
          <w:rPr>
            <w:noProof/>
            <w:webHidden/>
          </w:rPr>
          <w:fldChar w:fldCharType="separate"/>
        </w:r>
        <w:r w:rsidR="00235C4A">
          <w:rPr>
            <w:noProof/>
            <w:webHidden/>
          </w:rPr>
          <w:t>98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3" w:history="1">
        <w:r w:rsidR="004B2E78" w:rsidRPr="00C22046">
          <w:rPr>
            <w:rStyle w:val="Hipervnculo"/>
            <w:noProof/>
          </w:rPr>
          <w:t>Figure 2.16. Effects of gender, education, wealth and employment on health in China,</w:t>
        </w:r>
        <w:r w:rsidR="00111F7F">
          <w:rPr>
            <w:rStyle w:val="Hipervnculo"/>
            <w:noProof/>
          </w:rPr>
          <w:br/>
        </w:r>
        <w:r w:rsidR="004B2E78" w:rsidRPr="00C22046">
          <w:rPr>
            <w:rStyle w:val="Hipervnculo"/>
            <w:noProof/>
          </w:rPr>
          <w:t>Indonesia and OECD countries according to rural or urban dwelling places</w:t>
        </w:r>
        <w:r w:rsidR="004B2E78">
          <w:rPr>
            <w:noProof/>
            <w:webHidden/>
          </w:rPr>
          <w:tab/>
        </w:r>
        <w:r w:rsidR="004B2E78">
          <w:rPr>
            <w:noProof/>
            <w:webHidden/>
          </w:rPr>
          <w:fldChar w:fldCharType="begin"/>
        </w:r>
        <w:r w:rsidR="004B2E78">
          <w:rPr>
            <w:noProof/>
            <w:webHidden/>
          </w:rPr>
          <w:instrText xml:space="preserve"> PAGEREF _Toc493088673 \h </w:instrText>
        </w:r>
        <w:r w:rsidR="004B2E78">
          <w:rPr>
            <w:noProof/>
            <w:webHidden/>
          </w:rPr>
        </w:r>
        <w:r w:rsidR="004B2E78">
          <w:rPr>
            <w:noProof/>
            <w:webHidden/>
          </w:rPr>
          <w:fldChar w:fldCharType="separate"/>
        </w:r>
        <w:r w:rsidR="00235C4A">
          <w:rPr>
            <w:noProof/>
            <w:webHidden/>
          </w:rPr>
          <w:t>98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4" w:history="1">
        <w:r w:rsidR="004B2E78" w:rsidRPr="00C22046">
          <w:rPr>
            <w:rStyle w:val="Hipervnculo"/>
            <w:noProof/>
          </w:rPr>
          <w:t>Figure 3.1. A 30% gap between the OECD countries with highest and lowest</w:t>
        </w:r>
        <w:r w:rsidR="00111F7F">
          <w:rPr>
            <w:rStyle w:val="Hipervnculo"/>
            <w:noProof/>
          </w:rPr>
          <w:br/>
        </w:r>
        <w:r w:rsidR="004B2E78" w:rsidRPr="00C22046">
          <w:rPr>
            <w:rStyle w:val="Hipervnculo"/>
            <w:noProof/>
          </w:rPr>
          <w:t>life expectancy at 65</w:t>
        </w:r>
        <w:r w:rsidR="004B2E78">
          <w:rPr>
            <w:noProof/>
            <w:webHidden/>
          </w:rPr>
          <w:tab/>
        </w:r>
        <w:r w:rsidR="004B2E78">
          <w:rPr>
            <w:noProof/>
            <w:webHidden/>
          </w:rPr>
          <w:fldChar w:fldCharType="begin"/>
        </w:r>
        <w:r w:rsidR="004B2E78">
          <w:rPr>
            <w:noProof/>
            <w:webHidden/>
          </w:rPr>
          <w:instrText xml:space="preserve"> PAGEREF _Toc493088674 \h </w:instrText>
        </w:r>
        <w:r w:rsidR="004B2E78">
          <w:rPr>
            <w:noProof/>
            <w:webHidden/>
          </w:rPr>
        </w:r>
        <w:r w:rsidR="004B2E78">
          <w:rPr>
            <w:noProof/>
            <w:webHidden/>
          </w:rPr>
          <w:fldChar w:fldCharType="separate"/>
        </w:r>
        <w:r w:rsidR="00235C4A">
          <w:rPr>
            <w:noProof/>
            <w:webHidden/>
          </w:rPr>
          <w:t>112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6" w:history="1">
        <w:r w:rsidR="004B2E78" w:rsidRPr="00C22046">
          <w:rPr>
            <w:rStyle w:val="Hipervnculo"/>
            <w:noProof/>
          </w:rPr>
          <w:t>Figure 3.2. The gender gap in life expectancy at 65 has peaked on average</w:t>
        </w:r>
        <w:r w:rsidR="004B2E78">
          <w:rPr>
            <w:noProof/>
            <w:webHidden/>
          </w:rPr>
          <w:tab/>
        </w:r>
        <w:r w:rsidR="004B2E78">
          <w:rPr>
            <w:noProof/>
            <w:webHidden/>
          </w:rPr>
          <w:fldChar w:fldCharType="begin"/>
        </w:r>
        <w:r w:rsidR="004B2E78">
          <w:rPr>
            <w:noProof/>
            <w:webHidden/>
          </w:rPr>
          <w:instrText xml:space="preserve"> PAGEREF _Toc493088676 \h </w:instrText>
        </w:r>
        <w:r w:rsidR="004B2E78">
          <w:rPr>
            <w:noProof/>
            <w:webHidden/>
          </w:rPr>
        </w:r>
        <w:r w:rsidR="004B2E78">
          <w:rPr>
            <w:noProof/>
            <w:webHidden/>
          </w:rPr>
          <w:fldChar w:fldCharType="separate"/>
        </w:r>
        <w:r w:rsidR="00235C4A">
          <w:rPr>
            <w:noProof/>
            <w:webHidden/>
          </w:rPr>
          <w:t>113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8" w:history="1">
        <w:r w:rsidR="004B2E78" w:rsidRPr="00C22046">
          <w:rPr>
            <w:rStyle w:val="Hipervnculo"/>
            <w:noProof/>
          </w:rPr>
          <w:t>Figure 3.3. Population ageing will accelerate sharply</w:t>
        </w:r>
        <w:r w:rsidR="004B2E78">
          <w:rPr>
            <w:noProof/>
            <w:webHidden/>
          </w:rPr>
          <w:tab/>
        </w:r>
        <w:r w:rsidR="004B2E78">
          <w:rPr>
            <w:noProof/>
            <w:webHidden/>
          </w:rPr>
          <w:fldChar w:fldCharType="begin"/>
        </w:r>
        <w:r w:rsidR="004B2E78">
          <w:rPr>
            <w:noProof/>
            <w:webHidden/>
          </w:rPr>
          <w:instrText xml:space="preserve"> PAGEREF _Toc493088678 \h </w:instrText>
        </w:r>
        <w:r w:rsidR="004B2E78">
          <w:rPr>
            <w:noProof/>
            <w:webHidden/>
          </w:rPr>
        </w:r>
        <w:r w:rsidR="004B2E78">
          <w:rPr>
            <w:noProof/>
            <w:webHidden/>
          </w:rPr>
          <w:fldChar w:fldCharType="separate"/>
        </w:r>
        <w:r w:rsidR="00235C4A">
          <w:rPr>
            <w:noProof/>
            <w:webHidden/>
          </w:rPr>
          <w:t>114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79" w:history="1">
        <w:r w:rsidR="004B2E78" w:rsidRPr="00C22046">
          <w:rPr>
            <w:rStyle w:val="Hipervnculo"/>
            <w:noProof/>
          </w:rPr>
          <w:t>Figure 3.4. Real average incomes within birth cohorts as they age</w:t>
        </w:r>
        <w:r w:rsidR="004B2E78">
          <w:rPr>
            <w:noProof/>
            <w:webHidden/>
          </w:rPr>
          <w:tab/>
        </w:r>
        <w:r w:rsidR="004B2E78">
          <w:rPr>
            <w:noProof/>
            <w:webHidden/>
          </w:rPr>
          <w:fldChar w:fldCharType="begin"/>
        </w:r>
        <w:r w:rsidR="004B2E78">
          <w:rPr>
            <w:noProof/>
            <w:webHidden/>
          </w:rPr>
          <w:instrText xml:space="preserve"> PAGEREF _Toc493088679 \h </w:instrText>
        </w:r>
        <w:r w:rsidR="004B2E78">
          <w:rPr>
            <w:noProof/>
            <w:webHidden/>
          </w:rPr>
        </w:r>
        <w:r w:rsidR="004B2E78">
          <w:rPr>
            <w:noProof/>
            <w:webHidden/>
          </w:rPr>
          <w:fldChar w:fldCharType="separate"/>
        </w:r>
        <w:r w:rsidR="00235C4A">
          <w:rPr>
            <w:noProof/>
            <w:webHidden/>
          </w:rPr>
          <w:t>115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0" w:history="1">
        <w:r w:rsidR="004B2E78" w:rsidRPr="00C22046">
          <w:rPr>
            <w:rStyle w:val="Hipervnculo"/>
            <w:iCs/>
            <w:noProof/>
          </w:rPr>
          <w:t>Figure 3.5. Substantial income gains at the same age across cohorts, at least until recently</w:t>
        </w:r>
        <w:r w:rsidR="004B2E78">
          <w:rPr>
            <w:noProof/>
            <w:webHidden/>
          </w:rPr>
          <w:tab/>
        </w:r>
        <w:r w:rsidR="004B2E78">
          <w:rPr>
            <w:noProof/>
            <w:webHidden/>
          </w:rPr>
          <w:fldChar w:fldCharType="begin"/>
        </w:r>
        <w:r w:rsidR="004B2E78">
          <w:rPr>
            <w:noProof/>
            <w:webHidden/>
          </w:rPr>
          <w:instrText xml:space="preserve"> PAGEREF _Toc493088680 \h </w:instrText>
        </w:r>
        <w:r w:rsidR="004B2E78">
          <w:rPr>
            <w:noProof/>
            <w:webHidden/>
          </w:rPr>
        </w:r>
        <w:r w:rsidR="004B2E78">
          <w:rPr>
            <w:noProof/>
            <w:webHidden/>
          </w:rPr>
          <w:fldChar w:fldCharType="separate"/>
        </w:r>
        <w:r w:rsidR="00235C4A">
          <w:rPr>
            <w:noProof/>
            <w:webHidden/>
          </w:rPr>
          <w:t>116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3" w:history="1">
        <w:r w:rsidR="004B2E78" w:rsidRPr="00C22046">
          <w:rPr>
            <w:rStyle w:val="Hipervnculo"/>
            <w:noProof/>
          </w:rPr>
          <w:t>Figure 3.6. Real income has increased at the same age across birth cohorts</w:t>
        </w:r>
        <w:r w:rsidR="004B2E78">
          <w:rPr>
            <w:noProof/>
            <w:webHidden/>
          </w:rPr>
          <w:tab/>
        </w:r>
        <w:r w:rsidR="004B2E78">
          <w:rPr>
            <w:noProof/>
            <w:webHidden/>
          </w:rPr>
          <w:fldChar w:fldCharType="begin"/>
        </w:r>
        <w:r w:rsidR="004B2E78">
          <w:rPr>
            <w:noProof/>
            <w:webHidden/>
          </w:rPr>
          <w:instrText xml:space="preserve"> PAGEREF _Toc493088683 \h </w:instrText>
        </w:r>
        <w:r w:rsidR="004B2E78">
          <w:rPr>
            <w:noProof/>
            <w:webHidden/>
          </w:rPr>
        </w:r>
        <w:r w:rsidR="004B2E78">
          <w:rPr>
            <w:noProof/>
            <w:webHidden/>
          </w:rPr>
          <w:fldChar w:fldCharType="separate"/>
        </w:r>
        <w:r w:rsidR="00235C4A">
          <w:rPr>
            <w:noProof/>
            <w:webHidden/>
          </w:rPr>
          <w:t>117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4" w:history="1">
        <w:r w:rsidR="004B2E78" w:rsidRPr="00C22046">
          <w:rPr>
            <w:rStyle w:val="Hipervnculo"/>
            <w:noProof/>
            <w:lang w:val="en-US"/>
          </w:rPr>
          <w:t>Figure 3.7. Average real income in the 50</w:t>
        </w:r>
        <w:r w:rsidR="004B2E78" w:rsidRPr="00C22046">
          <w:rPr>
            <w:rStyle w:val="Hipervnculo"/>
            <w:noProof/>
            <w:lang w:val="en-US"/>
          </w:rPr>
          <w:noBreakHyphen/>
          <w:t>54 age bracket, 1960s versus 1950s birth cohorts</w:t>
        </w:r>
        <w:r w:rsidR="004B2E78">
          <w:rPr>
            <w:noProof/>
            <w:webHidden/>
          </w:rPr>
          <w:tab/>
        </w:r>
        <w:r w:rsidR="004B2E78">
          <w:rPr>
            <w:noProof/>
            <w:webHidden/>
          </w:rPr>
          <w:fldChar w:fldCharType="begin"/>
        </w:r>
        <w:r w:rsidR="004B2E78">
          <w:rPr>
            <w:noProof/>
            <w:webHidden/>
          </w:rPr>
          <w:instrText xml:space="preserve"> PAGEREF _Toc493088684 \h </w:instrText>
        </w:r>
        <w:r w:rsidR="004B2E78">
          <w:rPr>
            <w:noProof/>
            <w:webHidden/>
          </w:rPr>
        </w:r>
        <w:r w:rsidR="004B2E78">
          <w:rPr>
            <w:noProof/>
            <w:webHidden/>
          </w:rPr>
          <w:fldChar w:fldCharType="separate"/>
        </w:r>
        <w:r w:rsidR="00235C4A">
          <w:rPr>
            <w:noProof/>
            <w:webHidden/>
          </w:rPr>
          <w:t>118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5" w:history="1">
        <w:r w:rsidR="004B2E78" w:rsidRPr="00C22046">
          <w:rPr>
            <w:rStyle w:val="Hipervnculo"/>
            <w:noProof/>
          </w:rPr>
          <w:t>Figure 3.8. Shifts in income have benefited older people of working age</w:t>
        </w:r>
        <w:r w:rsidR="004B2E78">
          <w:rPr>
            <w:noProof/>
            <w:webHidden/>
          </w:rPr>
          <w:tab/>
        </w:r>
        <w:r w:rsidR="004B2E78">
          <w:rPr>
            <w:noProof/>
            <w:webHidden/>
          </w:rPr>
          <w:fldChar w:fldCharType="begin"/>
        </w:r>
        <w:r w:rsidR="004B2E78">
          <w:rPr>
            <w:noProof/>
            <w:webHidden/>
          </w:rPr>
          <w:instrText xml:space="preserve"> PAGEREF _Toc493088685 \h </w:instrText>
        </w:r>
        <w:r w:rsidR="004B2E78">
          <w:rPr>
            <w:noProof/>
            <w:webHidden/>
          </w:rPr>
        </w:r>
        <w:r w:rsidR="004B2E78">
          <w:rPr>
            <w:noProof/>
            <w:webHidden/>
          </w:rPr>
          <w:fldChar w:fldCharType="separate"/>
        </w:r>
        <w:r w:rsidR="00235C4A">
          <w:rPr>
            <w:noProof/>
            <w:webHidden/>
          </w:rPr>
          <w:t>119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6" w:history="1">
        <w:r w:rsidR="004B2E78" w:rsidRPr="00C22046">
          <w:rPr>
            <w:rStyle w:val="Hipervnculo"/>
            <w:noProof/>
          </w:rPr>
          <w:t>Figure 3.9. On average poverty risks have shifted from the old to the young</w:t>
        </w:r>
        <w:r w:rsidR="004B2E78">
          <w:rPr>
            <w:noProof/>
            <w:webHidden/>
          </w:rPr>
          <w:tab/>
        </w:r>
        <w:r w:rsidR="004B2E78">
          <w:rPr>
            <w:noProof/>
            <w:webHidden/>
          </w:rPr>
          <w:fldChar w:fldCharType="begin"/>
        </w:r>
        <w:r w:rsidR="004B2E78">
          <w:rPr>
            <w:noProof/>
            <w:webHidden/>
          </w:rPr>
          <w:instrText xml:space="preserve"> PAGEREF _Toc493088686 \h </w:instrText>
        </w:r>
        <w:r w:rsidR="004B2E78">
          <w:rPr>
            <w:noProof/>
            <w:webHidden/>
          </w:rPr>
        </w:r>
        <w:r w:rsidR="004B2E78">
          <w:rPr>
            <w:noProof/>
            <w:webHidden/>
          </w:rPr>
          <w:fldChar w:fldCharType="separate"/>
        </w:r>
        <w:r w:rsidR="00235C4A">
          <w:rPr>
            <w:noProof/>
            <w:webHidden/>
          </w:rPr>
          <w:t>120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7" w:history="1">
        <w:r w:rsidR="004B2E78" w:rsidRPr="00C22046">
          <w:rPr>
            <w:rStyle w:val="Hipervnculo"/>
            <w:noProof/>
          </w:rPr>
          <w:t>Figure 3.10. On average across the OECD poverty rates are similar among the 76+</w:t>
        </w:r>
        <w:r w:rsidR="00111F7F">
          <w:rPr>
            <w:rStyle w:val="Hipervnculo"/>
            <w:noProof/>
          </w:rPr>
          <w:br/>
        </w:r>
        <w:r w:rsidR="004B2E78" w:rsidRPr="00C22046">
          <w:rPr>
            <w:rStyle w:val="Hipervnculo"/>
            <w:noProof/>
          </w:rPr>
          <w:t>and the 18</w:t>
        </w:r>
        <w:r w:rsidR="004B2E78" w:rsidRPr="00C22046">
          <w:rPr>
            <w:rStyle w:val="Hipervnculo"/>
            <w:noProof/>
          </w:rPr>
          <w:noBreakHyphen/>
          <w:t>25</w:t>
        </w:r>
        <w:r w:rsidR="004B2E78">
          <w:rPr>
            <w:noProof/>
            <w:webHidden/>
          </w:rPr>
          <w:tab/>
        </w:r>
        <w:r w:rsidR="004B2E78">
          <w:rPr>
            <w:noProof/>
            <w:webHidden/>
          </w:rPr>
          <w:fldChar w:fldCharType="begin"/>
        </w:r>
        <w:r w:rsidR="004B2E78">
          <w:rPr>
            <w:noProof/>
            <w:webHidden/>
          </w:rPr>
          <w:instrText xml:space="preserve"> PAGEREF _Toc493088687 \h </w:instrText>
        </w:r>
        <w:r w:rsidR="004B2E78">
          <w:rPr>
            <w:noProof/>
            <w:webHidden/>
          </w:rPr>
        </w:r>
        <w:r w:rsidR="004B2E78">
          <w:rPr>
            <w:noProof/>
            <w:webHidden/>
          </w:rPr>
          <w:fldChar w:fldCharType="separate"/>
        </w:r>
        <w:r w:rsidR="00235C4A">
          <w:rPr>
            <w:noProof/>
            <w:webHidden/>
          </w:rPr>
          <w:t>121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8" w:history="1">
        <w:r w:rsidR="004B2E78" w:rsidRPr="00C22046">
          <w:rPr>
            <w:rStyle w:val="Hipervnculo"/>
            <w:noProof/>
          </w:rPr>
          <w:t>Figure 3.11. Employment peaked for the 1960s-born cohorts on average across countries</w:t>
        </w:r>
        <w:r w:rsidR="004B2E78">
          <w:rPr>
            <w:noProof/>
            <w:webHidden/>
          </w:rPr>
          <w:tab/>
        </w:r>
        <w:r w:rsidR="004B2E78">
          <w:rPr>
            <w:noProof/>
            <w:webHidden/>
          </w:rPr>
          <w:fldChar w:fldCharType="begin"/>
        </w:r>
        <w:r w:rsidR="004B2E78">
          <w:rPr>
            <w:noProof/>
            <w:webHidden/>
          </w:rPr>
          <w:instrText xml:space="preserve"> PAGEREF _Toc493088688 \h </w:instrText>
        </w:r>
        <w:r w:rsidR="004B2E78">
          <w:rPr>
            <w:noProof/>
            <w:webHidden/>
          </w:rPr>
        </w:r>
        <w:r w:rsidR="004B2E78">
          <w:rPr>
            <w:noProof/>
            <w:webHidden/>
          </w:rPr>
          <w:fldChar w:fldCharType="separate"/>
        </w:r>
        <w:r w:rsidR="00235C4A">
          <w:rPr>
            <w:noProof/>
            <w:webHidden/>
          </w:rPr>
          <w:t>122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89" w:history="1">
        <w:r w:rsidR="004B2E78" w:rsidRPr="00C22046">
          <w:rPr>
            <w:rStyle w:val="Hipervnculo"/>
            <w:noProof/>
          </w:rPr>
          <w:t>Figure 3.12. Employment rates by age group in specific cohorts, cross-country averages</w:t>
        </w:r>
        <w:r w:rsidR="004B2E78">
          <w:rPr>
            <w:noProof/>
            <w:webHidden/>
          </w:rPr>
          <w:tab/>
        </w:r>
        <w:r w:rsidR="004B2E78">
          <w:rPr>
            <w:noProof/>
            <w:webHidden/>
          </w:rPr>
          <w:fldChar w:fldCharType="begin"/>
        </w:r>
        <w:r w:rsidR="004B2E78">
          <w:rPr>
            <w:noProof/>
            <w:webHidden/>
          </w:rPr>
          <w:instrText xml:space="preserve"> PAGEREF _Toc493088689 \h </w:instrText>
        </w:r>
        <w:r w:rsidR="004B2E78">
          <w:rPr>
            <w:noProof/>
            <w:webHidden/>
          </w:rPr>
        </w:r>
        <w:r w:rsidR="004B2E78">
          <w:rPr>
            <w:noProof/>
            <w:webHidden/>
          </w:rPr>
          <w:fldChar w:fldCharType="separate"/>
        </w:r>
        <w:r w:rsidR="00235C4A">
          <w:rPr>
            <w:noProof/>
            <w:webHidden/>
          </w:rPr>
          <w:t>123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0" w:history="1">
        <w:r w:rsidR="004B2E78" w:rsidRPr="00C22046">
          <w:rPr>
            <w:rStyle w:val="Hipervnculo"/>
            <w:noProof/>
          </w:rPr>
          <w:t>Figure 3.13. Cohort effects in employment rates by gender, OECD average</w:t>
        </w:r>
        <w:r w:rsidR="004B2E78">
          <w:rPr>
            <w:noProof/>
            <w:webHidden/>
          </w:rPr>
          <w:tab/>
        </w:r>
        <w:r w:rsidR="004B2E78">
          <w:rPr>
            <w:noProof/>
            <w:webHidden/>
          </w:rPr>
          <w:fldChar w:fldCharType="begin"/>
        </w:r>
        <w:r w:rsidR="004B2E78">
          <w:rPr>
            <w:noProof/>
            <w:webHidden/>
          </w:rPr>
          <w:instrText xml:space="preserve"> PAGEREF _Toc493088690 \h </w:instrText>
        </w:r>
        <w:r w:rsidR="004B2E78">
          <w:rPr>
            <w:noProof/>
            <w:webHidden/>
          </w:rPr>
        </w:r>
        <w:r w:rsidR="004B2E78">
          <w:rPr>
            <w:noProof/>
            <w:webHidden/>
          </w:rPr>
          <w:fldChar w:fldCharType="separate"/>
        </w:r>
        <w:r w:rsidR="00235C4A">
          <w:rPr>
            <w:noProof/>
            <w:webHidden/>
          </w:rPr>
          <w:t>124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1" w:history="1">
        <w:r w:rsidR="004B2E78" w:rsidRPr="00C22046">
          <w:rPr>
            <w:rStyle w:val="Hipervnculo"/>
            <w:noProof/>
          </w:rPr>
          <w:t>Figure 3.14. Gender gaps in OECD countries’ employment rates among 40</w:t>
        </w:r>
        <w:r w:rsidR="004B2E78" w:rsidRPr="00C22046">
          <w:rPr>
            <w:rStyle w:val="Hipervnculo"/>
            <w:noProof/>
          </w:rPr>
          <w:noBreakHyphen/>
          <w:t>44 year-olds</w:t>
        </w:r>
        <w:r w:rsidR="00111F7F">
          <w:rPr>
            <w:rStyle w:val="Hipervnculo"/>
            <w:noProof/>
          </w:rPr>
          <w:br/>
        </w:r>
        <w:r w:rsidR="004B2E78" w:rsidRPr="00C22046">
          <w:rPr>
            <w:rStyle w:val="Hipervnculo"/>
            <w:noProof/>
          </w:rPr>
          <w:t>in 1940s versus 1970s birth cohorts</w:t>
        </w:r>
        <w:r w:rsidR="004B2E78">
          <w:rPr>
            <w:noProof/>
            <w:webHidden/>
          </w:rPr>
          <w:tab/>
        </w:r>
        <w:r w:rsidR="004B2E78">
          <w:rPr>
            <w:noProof/>
            <w:webHidden/>
          </w:rPr>
          <w:fldChar w:fldCharType="begin"/>
        </w:r>
        <w:r w:rsidR="004B2E78">
          <w:rPr>
            <w:noProof/>
            <w:webHidden/>
          </w:rPr>
          <w:instrText xml:space="preserve"> PAGEREF _Toc493088691 \h </w:instrText>
        </w:r>
        <w:r w:rsidR="004B2E78">
          <w:rPr>
            <w:noProof/>
            <w:webHidden/>
          </w:rPr>
        </w:r>
        <w:r w:rsidR="004B2E78">
          <w:rPr>
            <w:noProof/>
            <w:webHidden/>
          </w:rPr>
          <w:fldChar w:fldCharType="separate"/>
        </w:r>
        <w:r w:rsidR="00235C4A">
          <w:rPr>
            <w:noProof/>
            <w:webHidden/>
          </w:rPr>
          <w:t>125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2" w:history="1">
        <w:r w:rsidR="004B2E78" w:rsidRPr="00C22046">
          <w:rPr>
            <w:rStyle w:val="Hipervnculo"/>
            <w:noProof/>
          </w:rPr>
          <w:t>Figure 3.15. Gender gap in pensions in OECD countries, 2014 or latest</w:t>
        </w:r>
        <w:r w:rsidR="004B2E78">
          <w:rPr>
            <w:noProof/>
            <w:webHidden/>
          </w:rPr>
          <w:tab/>
        </w:r>
        <w:r w:rsidR="004B2E78">
          <w:rPr>
            <w:noProof/>
            <w:webHidden/>
          </w:rPr>
          <w:fldChar w:fldCharType="begin"/>
        </w:r>
        <w:r w:rsidR="004B2E78">
          <w:rPr>
            <w:noProof/>
            <w:webHidden/>
          </w:rPr>
          <w:instrText xml:space="preserve"> PAGEREF _Toc493088692 \h </w:instrText>
        </w:r>
        <w:r w:rsidR="004B2E78">
          <w:rPr>
            <w:noProof/>
            <w:webHidden/>
          </w:rPr>
        </w:r>
        <w:r w:rsidR="004B2E78">
          <w:rPr>
            <w:noProof/>
            <w:webHidden/>
          </w:rPr>
          <w:fldChar w:fldCharType="separate"/>
        </w:r>
        <w:r w:rsidR="00235C4A">
          <w:rPr>
            <w:noProof/>
            <w:webHidden/>
          </w:rPr>
          <w:t>125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3" w:history="1">
        <w:r w:rsidR="004B2E78" w:rsidRPr="00C22046">
          <w:rPr>
            <w:rStyle w:val="Hipervnculo"/>
            <w:noProof/>
          </w:rPr>
          <w:t>Figure 3.16. Income inequality decreases at older ages in most countries</w:t>
        </w:r>
        <w:r w:rsidR="004B2E78">
          <w:rPr>
            <w:noProof/>
            <w:webHidden/>
          </w:rPr>
          <w:tab/>
        </w:r>
        <w:r w:rsidR="004B2E78">
          <w:rPr>
            <w:noProof/>
            <w:webHidden/>
          </w:rPr>
          <w:fldChar w:fldCharType="begin"/>
        </w:r>
        <w:r w:rsidR="004B2E78">
          <w:rPr>
            <w:noProof/>
            <w:webHidden/>
          </w:rPr>
          <w:instrText xml:space="preserve"> PAGEREF _Toc493088693 \h </w:instrText>
        </w:r>
        <w:r w:rsidR="004B2E78">
          <w:rPr>
            <w:noProof/>
            <w:webHidden/>
          </w:rPr>
        </w:r>
        <w:r w:rsidR="004B2E78">
          <w:rPr>
            <w:noProof/>
            <w:webHidden/>
          </w:rPr>
          <w:fldChar w:fldCharType="separate"/>
        </w:r>
        <w:r w:rsidR="00235C4A">
          <w:rPr>
            <w:noProof/>
            <w:webHidden/>
          </w:rPr>
          <w:t>126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4" w:history="1">
        <w:r w:rsidR="004B2E78" w:rsidRPr="00C22046">
          <w:rPr>
            <w:rStyle w:val="Hipervnculo"/>
            <w:noProof/>
          </w:rPr>
          <w:t>Figure 3.17. How changes in the age composition of populations automatically affect</w:t>
        </w:r>
        <w:r w:rsidR="00111F7F">
          <w:rPr>
            <w:rStyle w:val="Hipervnculo"/>
            <w:noProof/>
          </w:rPr>
          <w:br/>
          <w:t>t</w:t>
        </w:r>
        <w:r w:rsidR="004B2E78" w:rsidRPr="00C22046">
          <w:rPr>
            <w:rStyle w:val="Hipervnculo"/>
            <w:noProof/>
          </w:rPr>
          <w:t>he Theil index of disposable income in selected OECD countries, 2015 and 2050</w:t>
        </w:r>
        <w:r w:rsidR="004B2E78">
          <w:rPr>
            <w:noProof/>
            <w:webHidden/>
          </w:rPr>
          <w:tab/>
        </w:r>
        <w:r w:rsidR="004B2E78">
          <w:rPr>
            <w:noProof/>
            <w:webHidden/>
          </w:rPr>
          <w:fldChar w:fldCharType="begin"/>
        </w:r>
        <w:r w:rsidR="004B2E78">
          <w:rPr>
            <w:noProof/>
            <w:webHidden/>
          </w:rPr>
          <w:instrText xml:space="preserve"> PAGEREF _Toc493088694 \h </w:instrText>
        </w:r>
        <w:r w:rsidR="004B2E78">
          <w:rPr>
            <w:noProof/>
            <w:webHidden/>
          </w:rPr>
        </w:r>
        <w:r w:rsidR="004B2E78">
          <w:rPr>
            <w:noProof/>
            <w:webHidden/>
          </w:rPr>
          <w:fldChar w:fldCharType="separate"/>
        </w:r>
        <w:r w:rsidR="00235C4A">
          <w:rPr>
            <w:noProof/>
            <w:webHidden/>
          </w:rPr>
          <w:t>128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5" w:history="1">
        <w:r w:rsidR="004B2E78" w:rsidRPr="00C22046">
          <w:rPr>
            <w:rStyle w:val="Hipervnculo"/>
            <w:noProof/>
          </w:rPr>
          <w:t>Figure 3.18. Income Gini index by cohort and age group, OECD-wide averages</w:t>
        </w:r>
        <w:r w:rsidR="004B2E78">
          <w:rPr>
            <w:noProof/>
            <w:webHidden/>
          </w:rPr>
          <w:tab/>
        </w:r>
        <w:r w:rsidR="004B2E78">
          <w:rPr>
            <w:noProof/>
            <w:webHidden/>
          </w:rPr>
          <w:fldChar w:fldCharType="begin"/>
        </w:r>
        <w:r w:rsidR="004B2E78">
          <w:rPr>
            <w:noProof/>
            <w:webHidden/>
          </w:rPr>
          <w:instrText xml:space="preserve"> PAGEREF _Toc493088695 \h </w:instrText>
        </w:r>
        <w:r w:rsidR="004B2E78">
          <w:rPr>
            <w:noProof/>
            <w:webHidden/>
          </w:rPr>
        </w:r>
        <w:r w:rsidR="004B2E78">
          <w:rPr>
            <w:noProof/>
            <w:webHidden/>
          </w:rPr>
          <w:fldChar w:fldCharType="separate"/>
        </w:r>
        <w:r w:rsidR="00235C4A">
          <w:rPr>
            <w:noProof/>
            <w:webHidden/>
          </w:rPr>
          <w:t>129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6" w:history="1">
        <w:r w:rsidR="004B2E78" w:rsidRPr="00C22046">
          <w:rPr>
            <w:rStyle w:val="Hipervnculo"/>
            <w:noProof/>
          </w:rPr>
          <w:t>Figure 3.19. Income inequality at the same age has increased from one generation</w:t>
        </w:r>
        <w:r w:rsidR="00111F7F">
          <w:rPr>
            <w:rStyle w:val="Hipervnculo"/>
            <w:noProof/>
          </w:rPr>
          <w:br/>
        </w:r>
        <w:r w:rsidR="004B2E78" w:rsidRPr="00C22046">
          <w:rPr>
            <w:rStyle w:val="Hipervnculo"/>
            <w:noProof/>
          </w:rPr>
          <w:t>to the next in most countries</w:t>
        </w:r>
        <w:r w:rsidR="004B2E78">
          <w:rPr>
            <w:noProof/>
            <w:webHidden/>
          </w:rPr>
          <w:tab/>
        </w:r>
        <w:r w:rsidR="004B2E78">
          <w:rPr>
            <w:noProof/>
            <w:webHidden/>
          </w:rPr>
          <w:fldChar w:fldCharType="begin"/>
        </w:r>
        <w:r w:rsidR="004B2E78">
          <w:rPr>
            <w:noProof/>
            <w:webHidden/>
          </w:rPr>
          <w:instrText xml:space="preserve"> PAGEREF _Toc493088696 \h </w:instrText>
        </w:r>
        <w:r w:rsidR="004B2E78">
          <w:rPr>
            <w:noProof/>
            <w:webHidden/>
          </w:rPr>
        </w:r>
        <w:r w:rsidR="004B2E78">
          <w:rPr>
            <w:noProof/>
            <w:webHidden/>
          </w:rPr>
          <w:fldChar w:fldCharType="separate"/>
        </w:r>
        <w:r w:rsidR="00235C4A">
          <w:rPr>
            <w:noProof/>
            <w:webHidden/>
          </w:rPr>
          <w:t>130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7" w:history="1">
        <w:r w:rsidR="004B2E78" w:rsidRPr="00C22046">
          <w:rPr>
            <w:rStyle w:val="Hipervnculo"/>
            <w:noProof/>
          </w:rPr>
          <w:t>Figure 4.1. Projected remaining cohort life expectancy by age in 35 OECD countries</w:t>
        </w:r>
        <w:r w:rsidR="004B2E78">
          <w:rPr>
            <w:noProof/>
            <w:webHidden/>
          </w:rPr>
          <w:tab/>
        </w:r>
        <w:r w:rsidR="004B2E78">
          <w:rPr>
            <w:noProof/>
            <w:webHidden/>
          </w:rPr>
          <w:fldChar w:fldCharType="begin"/>
        </w:r>
        <w:r w:rsidR="004B2E78">
          <w:rPr>
            <w:noProof/>
            <w:webHidden/>
          </w:rPr>
          <w:instrText xml:space="preserve"> PAGEREF _Toc493088697 \h </w:instrText>
        </w:r>
        <w:r w:rsidR="004B2E78">
          <w:rPr>
            <w:noProof/>
            <w:webHidden/>
          </w:rPr>
        </w:r>
        <w:r w:rsidR="004B2E78">
          <w:rPr>
            <w:noProof/>
            <w:webHidden/>
          </w:rPr>
          <w:fldChar w:fldCharType="separate"/>
        </w:r>
        <w:r w:rsidR="00235C4A">
          <w:rPr>
            <w:noProof/>
            <w:webHidden/>
          </w:rPr>
          <w:t>138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8" w:history="1">
        <w:r w:rsidR="004B2E78" w:rsidRPr="00C22046">
          <w:rPr>
            <w:rStyle w:val="Hipervnculo"/>
            <w:noProof/>
          </w:rPr>
          <w:t>Figure 4.2. Multi-dimensional living standards by cohort in 2010</w:t>
        </w:r>
        <w:r w:rsidR="004B2E78">
          <w:rPr>
            <w:noProof/>
            <w:webHidden/>
          </w:rPr>
          <w:tab/>
        </w:r>
        <w:r w:rsidR="004B2E78">
          <w:rPr>
            <w:noProof/>
            <w:webHidden/>
          </w:rPr>
          <w:fldChar w:fldCharType="begin"/>
        </w:r>
        <w:r w:rsidR="004B2E78">
          <w:rPr>
            <w:noProof/>
            <w:webHidden/>
          </w:rPr>
          <w:instrText xml:space="preserve"> PAGEREF _Toc493088698 \h </w:instrText>
        </w:r>
        <w:r w:rsidR="004B2E78">
          <w:rPr>
            <w:noProof/>
            <w:webHidden/>
          </w:rPr>
        </w:r>
        <w:r w:rsidR="004B2E78">
          <w:rPr>
            <w:noProof/>
            <w:webHidden/>
          </w:rPr>
          <w:fldChar w:fldCharType="separate"/>
        </w:r>
        <w:r w:rsidR="00235C4A">
          <w:rPr>
            <w:noProof/>
            <w:webHidden/>
          </w:rPr>
          <w:t>139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699" w:history="1">
        <w:r w:rsidR="004B2E78" w:rsidRPr="00C22046">
          <w:rPr>
            <w:rStyle w:val="Hipervnculo"/>
            <w:noProof/>
          </w:rPr>
          <w:t>Figure 4.3. Differences in components of multi-dimensional living standards</w:t>
        </w:r>
        <w:r w:rsidR="00111F7F">
          <w:rPr>
            <w:rStyle w:val="Hipervnculo"/>
            <w:noProof/>
          </w:rPr>
          <w:br/>
        </w:r>
        <w:r w:rsidR="004B2E78" w:rsidRPr="00C22046">
          <w:rPr>
            <w:rStyle w:val="Hipervnculo"/>
            <w:noProof/>
          </w:rPr>
          <w:t>between educational groups</w:t>
        </w:r>
        <w:r w:rsidR="004B2E78">
          <w:rPr>
            <w:noProof/>
            <w:webHidden/>
          </w:rPr>
          <w:tab/>
        </w:r>
        <w:r w:rsidR="004B2E78">
          <w:rPr>
            <w:noProof/>
            <w:webHidden/>
          </w:rPr>
          <w:fldChar w:fldCharType="begin"/>
        </w:r>
        <w:r w:rsidR="004B2E78">
          <w:rPr>
            <w:noProof/>
            <w:webHidden/>
          </w:rPr>
          <w:instrText xml:space="preserve"> PAGEREF _Toc493088699 \h </w:instrText>
        </w:r>
        <w:r w:rsidR="004B2E78">
          <w:rPr>
            <w:noProof/>
            <w:webHidden/>
          </w:rPr>
        </w:r>
        <w:r w:rsidR="004B2E78">
          <w:rPr>
            <w:noProof/>
            <w:webHidden/>
          </w:rPr>
          <w:fldChar w:fldCharType="separate"/>
        </w:r>
        <w:r w:rsidR="00235C4A">
          <w:rPr>
            <w:noProof/>
            <w:webHidden/>
          </w:rPr>
          <w:t>140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0" w:history="1">
        <w:r w:rsidR="004B2E78" w:rsidRPr="00C22046">
          <w:rPr>
            <w:rStyle w:val="Hipervnculo"/>
            <w:noProof/>
          </w:rPr>
          <w:t>Figure 4.4. Longevity gaps between people of high and low education</w:t>
        </w:r>
        <w:r w:rsidR="004B2E78">
          <w:rPr>
            <w:noProof/>
            <w:webHidden/>
          </w:rPr>
          <w:tab/>
        </w:r>
        <w:r w:rsidR="004B2E78">
          <w:rPr>
            <w:noProof/>
            <w:webHidden/>
          </w:rPr>
          <w:fldChar w:fldCharType="begin"/>
        </w:r>
        <w:r w:rsidR="004B2E78">
          <w:rPr>
            <w:noProof/>
            <w:webHidden/>
          </w:rPr>
          <w:instrText xml:space="preserve"> PAGEREF _Toc493088700 \h </w:instrText>
        </w:r>
        <w:r w:rsidR="004B2E78">
          <w:rPr>
            <w:noProof/>
            <w:webHidden/>
          </w:rPr>
        </w:r>
        <w:r w:rsidR="004B2E78">
          <w:rPr>
            <w:noProof/>
            <w:webHidden/>
          </w:rPr>
          <w:fldChar w:fldCharType="separate"/>
        </w:r>
        <w:r w:rsidR="00235C4A">
          <w:rPr>
            <w:noProof/>
            <w:webHidden/>
          </w:rPr>
          <w:t>141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1" w:history="1">
        <w:r w:rsidR="004B2E78" w:rsidRPr="00C22046">
          <w:rPr>
            <w:rStyle w:val="Hipervnculo"/>
            <w:noProof/>
          </w:rPr>
          <w:t>Figure 4.5. Breakdown of factors that contribute to differences in mortality rates</w:t>
        </w:r>
        <w:r w:rsidR="00111F7F">
          <w:rPr>
            <w:rStyle w:val="Hipervnculo"/>
            <w:noProof/>
          </w:rPr>
          <w:br/>
        </w:r>
        <w:r w:rsidR="004B2E78" w:rsidRPr="00C22046">
          <w:rPr>
            <w:rStyle w:val="Hipervnculo"/>
            <w:noProof/>
          </w:rPr>
          <w:t>between the low- and highly educated, 2011</w:t>
        </w:r>
        <w:r w:rsidR="004B2E78">
          <w:rPr>
            <w:noProof/>
            <w:webHidden/>
          </w:rPr>
          <w:tab/>
        </w:r>
        <w:r w:rsidR="004B2E78">
          <w:rPr>
            <w:noProof/>
            <w:webHidden/>
          </w:rPr>
          <w:fldChar w:fldCharType="begin"/>
        </w:r>
        <w:r w:rsidR="004B2E78">
          <w:rPr>
            <w:noProof/>
            <w:webHidden/>
          </w:rPr>
          <w:instrText xml:space="preserve"> PAGEREF _Toc493088701 \h </w:instrText>
        </w:r>
        <w:r w:rsidR="004B2E78">
          <w:rPr>
            <w:noProof/>
            <w:webHidden/>
          </w:rPr>
        </w:r>
        <w:r w:rsidR="004B2E78">
          <w:rPr>
            <w:noProof/>
            <w:webHidden/>
          </w:rPr>
          <w:fldChar w:fldCharType="separate"/>
        </w:r>
        <w:r w:rsidR="00235C4A">
          <w:rPr>
            <w:noProof/>
            <w:webHidden/>
          </w:rPr>
          <w:t>143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2" w:history="1">
        <w:r w:rsidR="004B2E78" w:rsidRPr="00C22046">
          <w:rPr>
            <w:rStyle w:val="Hipervnculo"/>
            <w:noProof/>
          </w:rPr>
          <w:t>Figure 4.6. Smoking prevalence in 2014</w:t>
        </w:r>
        <w:r w:rsidR="004B2E78">
          <w:rPr>
            <w:noProof/>
            <w:webHidden/>
          </w:rPr>
          <w:tab/>
        </w:r>
        <w:r w:rsidR="004B2E78">
          <w:rPr>
            <w:noProof/>
            <w:webHidden/>
          </w:rPr>
          <w:fldChar w:fldCharType="begin"/>
        </w:r>
        <w:r w:rsidR="004B2E78">
          <w:rPr>
            <w:noProof/>
            <w:webHidden/>
          </w:rPr>
          <w:instrText xml:space="preserve"> PAGEREF _Toc493088702 \h </w:instrText>
        </w:r>
        <w:r w:rsidR="004B2E78">
          <w:rPr>
            <w:noProof/>
            <w:webHidden/>
          </w:rPr>
        </w:r>
        <w:r w:rsidR="004B2E78">
          <w:rPr>
            <w:noProof/>
            <w:webHidden/>
          </w:rPr>
          <w:fldChar w:fldCharType="separate"/>
        </w:r>
        <w:r w:rsidR="00235C4A">
          <w:rPr>
            <w:noProof/>
            <w:webHidden/>
          </w:rPr>
          <w:t>144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3" w:history="1">
        <w:r w:rsidR="004B2E78" w:rsidRPr="00C22046">
          <w:rPr>
            <w:rStyle w:val="Hipervnculo"/>
            <w:noProof/>
          </w:rPr>
          <w:t>Figure 4.7. Distribution of ages at death by gender and education in Latvia and Sweden</w:t>
        </w:r>
        <w:r w:rsidR="004B2E78" w:rsidRPr="00C22046">
          <w:rPr>
            <w:rStyle w:val="Hipervnculo"/>
            <w:iCs/>
            <w:noProof/>
          </w:rPr>
          <w:t>,</w:t>
        </w:r>
        <w:r w:rsidR="00111F7F">
          <w:rPr>
            <w:rStyle w:val="Hipervnculo"/>
            <w:iCs/>
            <w:noProof/>
          </w:rPr>
          <w:br/>
        </w:r>
        <w:r w:rsidR="004B2E78" w:rsidRPr="00C22046">
          <w:rPr>
            <w:rStyle w:val="Hipervnculo"/>
            <w:iCs/>
            <w:noProof/>
          </w:rPr>
          <w:t>2011</w:t>
        </w:r>
        <w:r w:rsidR="004B2E78">
          <w:rPr>
            <w:noProof/>
            <w:webHidden/>
          </w:rPr>
          <w:tab/>
        </w:r>
        <w:r w:rsidR="004B2E78">
          <w:rPr>
            <w:noProof/>
            <w:webHidden/>
          </w:rPr>
          <w:fldChar w:fldCharType="begin"/>
        </w:r>
        <w:r w:rsidR="004B2E78">
          <w:rPr>
            <w:noProof/>
            <w:webHidden/>
          </w:rPr>
          <w:instrText xml:space="preserve"> PAGEREF _Toc493088703 \h </w:instrText>
        </w:r>
        <w:r w:rsidR="004B2E78">
          <w:rPr>
            <w:noProof/>
            <w:webHidden/>
          </w:rPr>
        </w:r>
        <w:r w:rsidR="004B2E78">
          <w:rPr>
            <w:noProof/>
            <w:webHidden/>
          </w:rPr>
          <w:fldChar w:fldCharType="separate"/>
        </w:r>
        <w:r w:rsidR="00235C4A">
          <w:rPr>
            <w:noProof/>
            <w:webHidden/>
          </w:rPr>
          <w:t>146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4" w:history="1">
        <w:r w:rsidR="004B2E78" w:rsidRPr="00C22046">
          <w:rPr>
            <w:rStyle w:val="Hipervnculo"/>
            <w:noProof/>
          </w:rPr>
          <w:t>Figure 4.8. Probability of survival to a given age, up to 85 years</w:t>
        </w:r>
        <w:r w:rsidR="004B2E78">
          <w:rPr>
            <w:noProof/>
            <w:webHidden/>
          </w:rPr>
          <w:tab/>
        </w:r>
        <w:r w:rsidR="004B2E78">
          <w:rPr>
            <w:noProof/>
            <w:webHidden/>
          </w:rPr>
          <w:fldChar w:fldCharType="begin"/>
        </w:r>
        <w:r w:rsidR="004B2E78">
          <w:rPr>
            <w:noProof/>
            <w:webHidden/>
          </w:rPr>
          <w:instrText xml:space="preserve"> PAGEREF _Toc493088704 \h </w:instrText>
        </w:r>
        <w:r w:rsidR="004B2E78">
          <w:rPr>
            <w:noProof/>
            <w:webHidden/>
          </w:rPr>
        </w:r>
        <w:r w:rsidR="004B2E78">
          <w:rPr>
            <w:noProof/>
            <w:webHidden/>
          </w:rPr>
          <w:fldChar w:fldCharType="separate"/>
        </w:r>
        <w:r w:rsidR="00235C4A">
          <w:rPr>
            <w:noProof/>
            <w:webHidden/>
          </w:rPr>
          <w:t>146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5" w:history="1">
        <w:r w:rsidR="004B2E78" w:rsidRPr="00C22046">
          <w:rPr>
            <w:rStyle w:val="Hipervnculo"/>
            <w:noProof/>
          </w:rPr>
          <w:t>Figure 4.9. Education premium in real hourly wages by gender and male real</w:t>
        </w:r>
        <w:r w:rsidR="00111F7F">
          <w:rPr>
            <w:rStyle w:val="Hipervnculo"/>
            <w:noProof/>
          </w:rPr>
          <w:br/>
        </w:r>
        <w:r w:rsidR="004B2E78" w:rsidRPr="00C22046">
          <w:rPr>
            <w:rStyle w:val="Hipervnculo"/>
            <w:noProof/>
          </w:rPr>
          <w:t>hourly wages</w:t>
        </w:r>
        <w:r w:rsidR="00111F7F">
          <w:rPr>
            <w:rStyle w:val="Hipervnculo"/>
            <w:noProof/>
          </w:rPr>
          <w:t xml:space="preserve"> </w:t>
        </w:r>
        <w:r w:rsidR="004B2E78" w:rsidRPr="00C22046">
          <w:rPr>
            <w:rStyle w:val="Hipervnculo"/>
            <w:noProof/>
          </w:rPr>
          <w:t>by level of education</w:t>
        </w:r>
        <w:r w:rsidR="004B2E78">
          <w:rPr>
            <w:noProof/>
            <w:webHidden/>
          </w:rPr>
          <w:tab/>
        </w:r>
        <w:r w:rsidR="004B2E78">
          <w:rPr>
            <w:noProof/>
            <w:webHidden/>
          </w:rPr>
          <w:fldChar w:fldCharType="begin"/>
        </w:r>
        <w:r w:rsidR="004B2E78">
          <w:rPr>
            <w:noProof/>
            <w:webHidden/>
          </w:rPr>
          <w:instrText xml:space="preserve"> PAGEREF _Toc493088705 \h </w:instrText>
        </w:r>
        <w:r w:rsidR="004B2E78">
          <w:rPr>
            <w:noProof/>
            <w:webHidden/>
          </w:rPr>
        </w:r>
        <w:r w:rsidR="004B2E78">
          <w:rPr>
            <w:noProof/>
            <w:webHidden/>
          </w:rPr>
          <w:fldChar w:fldCharType="separate"/>
        </w:r>
        <w:r w:rsidR="00235C4A">
          <w:rPr>
            <w:noProof/>
            <w:webHidden/>
          </w:rPr>
          <w:t>148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6" w:history="1">
        <w:r w:rsidR="004B2E78" w:rsidRPr="00C22046">
          <w:rPr>
            <w:rStyle w:val="Hipervnculo"/>
            <w:noProof/>
          </w:rPr>
          <w:t>Figure 4.10. Career average of the education premium in real hourly wages</w:t>
        </w:r>
        <w:r w:rsidR="00111F7F">
          <w:rPr>
            <w:rStyle w:val="Hipervnculo"/>
            <w:noProof/>
          </w:rPr>
          <w:br/>
        </w:r>
        <w:r w:rsidR="004B2E78" w:rsidRPr="00C22046">
          <w:rPr>
            <w:rStyle w:val="Hipervnculo"/>
            <w:noProof/>
          </w:rPr>
          <w:t>for three selected cohorts</w:t>
        </w:r>
        <w:r w:rsidR="004B2E78">
          <w:rPr>
            <w:noProof/>
            <w:webHidden/>
          </w:rPr>
          <w:tab/>
        </w:r>
        <w:r w:rsidR="004B2E78">
          <w:rPr>
            <w:noProof/>
            <w:webHidden/>
          </w:rPr>
          <w:fldChar w:fldCharType="begin"/>
        </w:r>
        <w:r w:rsidR="004B2E78">
          <w:rPr>
            <w:noProof/>
            <w:webHidden/>
          </w:rPr>
          <w:instrText xml:space="preserve"> PAGEREF _Toc493088706 \h </w:instrText>
        </w:r>
        <w:r w:rsidR="004B2E78">
          <w:rPr>
            <w:noProof/>
            <w:webHidden/>
          </w:rPr>
        </w:r>
        <w:r w:rsidR="004B2E78">
          <w:rPr>
            <w:noProof/>
            <w:webHidden/>
          </w:rPr>
          <w:fldChar w:fldCharType="separate"/>
        </w:r>
        <w:r w:rsidR="00235C4A">
          <w:rPr>
            <w:noProof/>
            <w:webHidden/>
          </w:rPr>
          <w:t>150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7" w:history="1">
        <w:r w:rsidR="004B2E78" w:rsidRPr="00C22046">
          <w:rPr>
            <w:rStyle w:val="Hipervnculo"/>
            <w:noProof/>
          </w:rPr>
          <w:t>Figure 4.11. Real expected lifetime earnings by cohort, education group and gender</w:t>
        </w:r>
        <w:r w:rsidR="004B2E78">
          <w:rPr>
            <w:noProof/>
            <w:webHidden/>
          </w:rPr>
          <w:tab/>
        </w:r>
        <w:r w:rsidR="004B2E78">
          <w:rPr>
            <w:noProof/>
            <w:webHidden/>
          </w:rPr>
          <w:fldChar w:fldCharType="begin"/>
        </w:r>
        <w:r w:rsidR="004B2E78">
          <w:rPr>
            <w:noProof/>
            <w:webHidden/>
          </w:rPr>
          <w:instrText xml:space="preserve"> PAGEREF _Toc493088707 \h </w:instrText>
        </w:r>
        <w:r w:rsidR="004B2E78">
          <w:rPr>
            <w:noProof/>
            <w:webHidden/>
          </w:rPr>
        </w:r>
        <w:r w:rsidR="004B2E78">
          <w:rPr>
            <w:noProof/>
            <w:webHidden/>
          </w:rPr>
          <w:fldChar w:fldCharType="separate"/>
        </w:r>
        <w:r w:rsidR="00235C4A">
          <w:rPr>
            <w:noProof/>
            <w:webHidden/>
          </w:rPr>
          <w:t>152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8" w:history="1">
        <w:r w:rsidR="004B2E78" w:rsidRPr="00C22046">
          <w:rPr>
            <w:rStyle w:val="Hipervnculo"/>
            <w:noProof/>
          </w:rPr>
          <w:t>Figure 4.12. The high-to-low education ratio of real expected lifetime earnings</w:t>
        </w:r>
        <w:r w:rsidR="004B2E78">
          <w:rPr>
            <w:noProof/>
            <w:webHidden/>
          </w:rPr>
          <w:tab/>
        </w:r>
        <w:r w:rsidR="004B2E78">
          <w:rPr>
            <w:noProof/>
            <w:webHidden/>
          </w:rPr>
          <w:fldChar w:fldCharType="begin"/>
        </w:r>
        <w:r w:rsidR="004B2E78">
          <w:rPr>
            <w:noProof/>
            <w:webHidden/>
          </w:rPr>
          <w:instrText xml:space="preserve"> PAGEREF _Toc493088708 \h </w:instrText>
        </w:r>
        <w:r w:rsidR="004B2E78">
          <w:rPr>
            <w:noProof/>
            <w:webHidden/>
          </w:rPr>
        </w:r>
        <w:r w:rsidR="004B2E78">
          <w:rPr>
            <w:noProof/>
            <w:webHidden/>
          </w:rPr>
          <w:fldChar w:fldCharType="separate"/>
        </w:r>
        <w:r w:rsidR="00235C4A">
          <w:rPr>
            <w:noProof/>
            <w:webHidden/>
          </w:rPr>
          <w:t>153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09" w:history="1">
        <w:r w:rsidR="004B2E78" w:rsidRPr="00C22046">
          <w:rPr>
            <w:rStyle w:val="Hipervnculo"/>
            <w:noProof/>
          </w:rPr>
          <w:t>Figure 4.13. Difference in employment rates between the highly educated</w:t>
        </w:r>
        <w:r w:rsidR="00111F7F">
          <w:rPr>
            <w:rStyle w:val="Hipervnculo"/>
            <w:noProof/>
          </w:rPr>
          <w:br/>
        </w:r>
        <w:r w:rsidR="004B2E78" w:rsidRPr="00C22046">
          <w:rPr>
            <w:rStyle w:val="Hipervnculo"/>
            <w:noProof/>
          </w:rPr>
          <w:t>and the low-educated</w:t>
        </w:r>
        <w:r w:rsidR="004B2E78">
          <w:rPr>
            <w:noProof/>
            <w:webHidden/>
          </w:rPr>
          <w:tab/>
        </w:r>
        <w:r w:rsidR="004B2E78">
          <w:rPr>
            <w:noProof/>
            <w:webHidden/>
          </w:rPr>
          <w:fldChar w:fldCharType="begin"/>
        </w:r>
        <w:r w:rsidR="004B2E78">
          <w:rPr>
            <w:noProof/>
            <w:webHidden/>
          </w:rPr>
          <w:instrText xml:space="preserve"> PAGEREF _Toc493088709 \h </w:instrText>
        </w:r>
        <w:r w:rsidR="004B2E78">
          <w:rPr>
            <w:noProof/>
            <w:webHidden/>
          </w:rPr>
        </w:r>
        <w:r w:rsidR="004B2E78">
          <w:rPr>
            <w:noProof/>
            <w:webHidden/>
          </w:rPr>
          <w:fldChar w:fldCharType="separate"/>
        </w:r>
        <w:r w:rsidR="00235C4A">
          <w:rPr>
            <w:noProof/>
            <w:webHidden/>
          </w:rPr>
          <w:t>154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0" w:history="1">
        <w:r w:rsidR="004B2E78" w:rsidRPr="00C22046">
          <w:rPr>
            <w:rStyle w:val="Hipervnculo"/>
            <w:noProof/>
          </w:rPr>
          <w:t>Figure 4.14. Career average of the education premium in real hourly wages according</w:t>
        </w:r>
        <w:r w:rsidR="00111F7F">
          <w:rPr>
            <w:rStyle w:val="Hipervnculo"/>
            <w:noProof/>
          </w:rPr>
          <w:br/>
        </w:r>
        <w:r w:rsidR="004B2E78" w:rsidRPr="00C22046">
          <w:rPr>
            <w:rStyle w:val="Hipervnculo"/>
            <w:noProof/>
          </w:rPr>
          <w:t>to ISCED and a percentile definition of education levels</w:t>
        </w:r>
        <w:r w:rsidR="004B2E78">
          <w:rPr>
            <w:noProof/>
            <w:webHidden/>
          </w:rPr>
          <w:tab/>
        </w:r>
        <w:r w:rsidR="004B2E78">
          <w:rPr>
            <w:noProof/>
            <w:webHidden/>
          </w:rPr>
          <w:fldChar w:fldCharType="begin"/>
        </w:r>
        <w:r w:rsidR="004B2E78">
          <w:rPr>
            <w:noProof/>
            <w:webHidden/>
          </w:rPr>
          <w:instrText xml:space="preserve"> PAGEREF _Toc493088710 \h </w:instrText>
        </w:r>
        <w:r w:rsidR="004B2E78">
          <w:rPr>
            <w:noProof/>
            <w:webHidden/>
          </w:rPr>
        </w:r>
        <w:r w:rsidR="004B2E78">
          <w:rPr>
            <w:noProof/>
            <w:webHidden/>
          </w:rPr>
          <w:fldChar w:fldCharType="separate"/>
        </w:r>
        <w:r w:rsidR="00235C4A">
          <w:rPr>
            <w:noProof/>
            <w:webHidden/>
          </w:rPr>
          <w:t>156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1" w:history="1">
        <w:r w:rsidR="004B2E78" w:rsidRPr="00C22046">
          <w:rPr>
            <w:rStyle w:val="Hipervnculo"/>
            <w:noProof/>
          </w:rPr>
          <w:t>Figure 4.15. Progressivity of mandatory pension schemes</w:t>
        </w:r>
        <w:r w:rsidR="004B2E78">
          <w:rPr>
            <w:noProof/>
            <w:webHidden/>
          </w:rPr>
          <w:tab/>
        </w:r>
        <w:r w:rsidR="004B2E78">
          <w:rPr>
            <w:noProof/>
            <w:webHidden/>
          </w:rPr>
          <w:fldChar w:fldCharType="begin"/>
        </w:r>
        <w:r w:rsidR="004B2E78">
          <w:rPr>
            <w:noProof/>
            <w:webHidden/>
          </w:rPr>
          <w:instrText xml:space="preserve"> PAGEREF _Toc493088711 \h </w:instrText>
        </w:r>
        <w:r w:rsidR="004B2E78">
          <w:rPr>
            <w:noProof/>
            <w:webHidden/>
          </w:rPr>
        </w:r>
        <w:r w:rsidR="004B2E78">
          <w:rPr>
            <w:noProof/>
            <w:webHidden/>
          </w:rPr>
          <w:fldChar w:fldCharType="separate"/>
        </w:r>
        <w:r w:rsidR="00235C4A">
          <w:rPr>
            <w:noProof/>
            <w:webHidden/>
          </w:rPr>
          <w:t>158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2" w:history="1">
        <w:r w:rsidR="004B2E78" w:rsidRPr="00C22046">
          <w:rPr>
            <w:rStyle w:val="Hipervnculo"/>
            <w:noProof/>
          </w:rPr>
          <w:t>Figure 4.16. How increases in wage inequality affect pension inequality</w:t>
        </w:r>
        <w:r w:rsidR="004B2E78">
          <w:rPr>
            <w:noProof/>
            <w:webHidden/>
          </w:rPr>
          <w:tab/>
        </w:r>
        <w:r w:rsidR="004B2E78">
          <w:rPr>
            <w:noProof/>
            <w:webHidden/>
          </w:rPr>
          <w:fldChar w:fldCharType="begin"/>
        </w:r>
        <w:r w:rsidR="004B2E78">
          <w:rPr>
            <w:noProof/>
            <w:webHidden/>
          </w:rPr>
          <w:instrText xml:space="preserve"> PAGEREF _Toc493088712 \h </w:instrText>
        </w:r>
        <w:r w:rsidR="004B2E78">
          <w:rPr>
            <w:noProof/>
            <w:webHidden/>
          </w:rPr>
        </w:r>
        <w:r w:rsidR="004B2E78">
          <w:rPr>
            <w:noProof/>
            <w:webHidden/>
          </w:rPr>
          <w:fldChar w:fldCharType="separate"/>
        </w:r>
        <w:r w:rsidR="00235C4A">
          <w:rPr>
            <w:noProof/>
            <w:webHidden/>
          </w:rPr>
          <w:t>159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3" w:history="1">
        <w:r w:rsidR="004B2E78" w:rsidRPr="00C22046">
          <w:rPr>
            <w:rStyle w:val="Hipervnculo"/>
            <w:noProof/>
          </w:rPr>
          <w:t>Figure 4.17. Gross pension entitlements of average earners who start at age 25</w:t>
        </w:r>
        <w:r w:rsidR="00111F7F">
          <w:rPr>
            <w:rStyle w:val="Hipervnculo"/>
            <w:noProof/>
          </w:rPr>
          <w:br/>
        </w:r>
        <w:r w:rsidR="004B2E78" w:rsidRPr="00C22046">
          <w:rPr>
            <w:rStyle w:val="Hipervnculo"/>
            <w:noProof/>
          </w:rPr>
          <w:t>and experience ten years of unemployment</w:t>
        </w:r>
        <w:r w:rsidR="004B2E78">
          <w:rPr>
            <w:noProof/>
            <w:webHidden/>
          </w:rPr>
          <w:tab/>
        </w:r>
        <w:r w:rsidR="004B2E78">
          <w:rPr>
            <w:noProof/>
            <w:webHidden/>
          </w:rPr>
          <w:fldChar w:fldCharType="begin"/>
        </w:r>
        <w:r w:rsidR="004B2E78">
          <w:rPr>
            <w:noProof/>
            <w:webHidden/>
          </w:rPr>
          <w:instrText xml:space="preserve"> PAGEREF _Toc493088713 \h </w:instrText>
        </w:r>
        <w:r w:rsidR="004B2E78">
          <w:rPr>
            <w:noProof/>
            <w:webHidden/>
          </w:rPr>
        </w:r>
        <w:r w:rsidR="004B2E78">
          <w:rPr>
            <w:noProof/>
            <w:webHidden/>
          </w:rPr>
          <w:fldChar w:fldCharType="separate"/>
        </w:r>
        <w:r w:rsidR="00235C4A">
          <w:rPr>
            <w:noProof/>
            <w:webHidden/>
          </w:rPr>
          <w:t>160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4" w:history="1">
        <w:r w:rsidR="004B2E78" w:rsidRPr="00C22046">
          <w:rPr>
            <w:rStyle w:val="Hipervnculo"/>
            <w:noProof/>
          </w:rPr>
          <w:t>Figure 4.18. Declines in pension wealth attributable to a three-year shortfall</w:t>
        </w:r>
        <w:r w:rsidR="00111F7F">
          <w:rPr>
            <w:rStyle w:val="Hipervnculo"/>
            <w:noProof/>
          </w:rPr>
          <w:br/>
        </w:r>
        <w:r w:rsidR="004B2E78" w:rsidRPr="00C22046">
          <w:rPr>
            <w:rStyle w:val="Hipervnculo"/>
            <w:noProof/>
          </w:rPr>
          <w:t>in remaining life expectancy at retirement age</w:t>
        </w:r>
        <w:r w:rsidR="004B2E78">
          <w:rPr>
            <w:noProof/>
            <w:webHidden/>
          </w:rPr>
          <w:tab/>
        </w:r>
        <w:r w:rsidR="004B2E78">
          <w:rPr>
            <w:noProof/>
            <w:webHidden/>
          </w:rPr>
          <w:fldChar w:fldCharType="begin"/>
        </w:r>
        <w:r w:rsidR="004B2E78">
          <w:rPr>
            <w:noProof/>
            <w:webHidden/>
          </w:rPr>
          <w:instrText xml:space="preserve"> PAGEREF _Toc493088714 \h </w:instrText>
        </w:r>
        <w:r w:rsidR="004B2E78">
          <w:rPr>
            <w:noProof/>
            <w:webHidden/>
          </w:rPr>
        </w:r>
        <w:r w:rsidR="004B2E78">
          <w:rPr>
            <w:noProof/>
            <w:webHidden/>
          </w:rPr>
          <w:fldChar w:fldCharType="separate"/>
        </w:r>
        <w:r w:rsidR="00235C4A">
          <w:rPr>
            <w:noProof/>
            <w:webHidden/>
          </w:rPr>
          <w:t>162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5" w:history="1">
        <w:r w:rsidR="004B2E78" w:rsidRPr="00C22046">
          <w:rPr>
            <w:rStyle w:val="Hipervnculo"/>
            <w:noProof/>
          </w:rPr>
          <w:t>Figure 5.1. Employment rates among older people rise with educational attainment, 2015</w:t>
        </w:r>
        <w:r w:rsidR="004B2E78">
          <w:rPr>
            <w:noProof/>
            <w:webHidden/>
          </w:rPr>
          <w:tab/>
        </w:r>
        <w:r w:rsidR="004B2E78">
          <w:rPr>
            <w:noProof/>
            <w:webHidden/>
          </w:rPr>
          <w:fldChar w:fldCharType="begin"/>
        </w:r>
        <w:r w:rsidR="004B2E78">
          <w:rPr>
            <w:noProof/>
            <w:webHidden/>
          </w:rPr>
          <w:instrText xml:space="preserve"> PAGEREF _Toc493088715 \h </w:instrText>
        </w:r>
        <w:r w:rsidR="004B2E78">
          <w:rPr>
            <w:noProof/>
            <w:webHidden/>
          </w:rPr>
        </w:r>
        <w:r w:rsidR="004B2E78">
          <w:rPr>
            <w:noProof/>
            <w:webHidden/>
          </w:rPr>
          <w:fldChar w:fldCharType="separate"/>
        </w:r>
        <w:r w:rsidR="00235C4A">
          <w:rPr>
            <w:noProof/>
            <w:webHidden/>
          </w:rPr>
          <w:t>179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6" w:history="1">
        <w:r w:rsidR="004B2E78" w:rsidRPr="00C22046">
          <w:rPr>
            <w:rStyle w:val="Hipervnculo"/>
            <w:noProof/>
            <w:lang w:eastAsia="en-GB"/>
          </w:rPr>
          <w:t xml:space="preserve">Figure 5.2. </w:t>
        </w:r>
        <w:r w:rsidR="004B2E78" w:rsidRPr="00C22046">
          <w:rPr>
            <w:rStyle w:val="Hipervnculo"/>
            <w:noProof/>
          </w:rPr>
          <w:t>Last self-declared labour market status before retirement in OECD countries,</w:t>
        </w:r>
        <w:r w:rsidR="00111F7F">
          <w:rPr>
            <w:rStyle w:val="Hipervnculo"/>
            <w:noProof/>
          </w:rPr>
          <w:br/>
        </w:r>
        <w:r w:rsidR="004B2E78" w:rsidRPr="00C22046">
          <w:rPr>
            <w:rStyle w:val="Hipervnculo"/>
            <w:noProof/>
          </w:rPr>
          <w:t>people retiring between the early 2000s and today</w:t>
        </w:r>
        <w:r w:rsidR="004B2E78">
          <w:rPr>
            <w:noProof/>
            <w:webHidden/>
          </w:rPr>
          <w:tab/>
        </w:r>
        <w:r w:rsidR="004B2E78">
          <w:rPr>
            <w:noProof/>
            <w:webHidden/>
          </w:rPr>
          <w:fldChar w:fldCharType="begin"/>
        </w:r>
        <w:r w:rsidR="004B2E78">
          <w:rPr>
            <w:noProof/>
            <w:webHidden/>
          </w:rPr>
          <w:instrText xml:space="preserve"> PAGEREF _Toc493088716 \h </w:instrText>
        </w:r>
        <w:r w:rsidR="004B2E78">
          <w:rPr>
            <w:noProof/>
            <w:webHidden/>
          </w:rPr>
        </w:r>
        <w:r w:rsidR="004B2E78">
          <w:rPr>
            <w:noProof/>
            <w:webHidden/>
          </w:rPr>
          <w:fldChar w:fldCharType="separate"/>
        </w:r>
        <w:r w:rsidR="00235C4A">
          <w:rPr>
            <w:noProof/>
            <w:webHidden/>
          </w:rPr>
          <w:t>180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7" w:history="1">
        <w:r w:rsidR="004B2E78" w:rsidRPr="00C22046">
          <w:rPr>
            <w:rStyle w:val="Hipervnculo"/>
            <w:noProof/>
          </w:rPr>
          <w:t>Figure 5.3. Many older workers have no computer experience or have failed core</w:t>
        </w:r>
        <w:r w:rsidR="00111F7F">
          <w:rPr>
            <w:rStyle w:val="Hipervnculo"/>
            <w:noProof/>
          </w:rPr>
          <w:br/>
        </w:r>
        <w:r w:rsidR="004B2E78" w:rsidRPr="00C22046">
          <w:rPr>
            <w:rStyle w:val="Hipervnculo"/>
            <w:noProof/>
          </w:rPr>
          <w:t>ICT tests,</w:t>
        </w:r>
        <w:r w:rsidR="00111F7F">
          <w:rPr>
            <w:rStyle w:val="Hipervnculo"/>
            <w:noProof/>
          </w:rPr>
          <w:t xml:space="preserve"> </w:t>
        </w:r>
        <w:r w:rsidR="004B2E78" w:rsidRPr="00C22046">
          <w:rPr>
            <w:rStyle w:val="Hipervnculo"/>
            <w:noProof/>
          </w:rPr>
          <w:t>2012 and 2015</w:t>
        </w:r>
        <w:r w:rsidR="004B2E78">
          <w:rPr>
            <w:noProof/>
            <w:webHidden/>
          </w:rPr>
          <w:tab/>
        </w:r>
        <w:r w:rsidR="004B2E78">
          <w:rPr>
            <w:noProof/>
            <w:webHidden/>
          </w:rPr>
          <w:fldChar w:fldCharType="begin"/>
        </w:r>
        <w:r w:rsidR="004B2E78">
          <w:rPr>
            <w:noProof/>
            <w:webHidden/>
          </w:rPr>
          <w:instrText xml:space="preserve"> PAGEREF _Toc493088717 \h </w:instrText>
        </w:r>
        <w:r w:rsidR="004B2E78">
          <w:rPr>
            <w:noProof/>
            <w:webHidden/>
          </w:rPr>
        </w:r>
        <w:r w:rsidR="004B2E78">
          <w:rPr>
            <w:noProof/>
            <w:webHidden/>
          </w:rPr>
          <w:fldChar w:fldCharType="separate"/>
        </w:r>
        <w:r w:rsidR="00235C4A">
          <w:rPr>
            <w:noProof/>
            <w:webHidden/>
          </w:rPr>
          <w:t>181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8" w:history="1">
        <w:r w:rsidR="004B2E78" w:rsidRPr="00C22046">
          <w:rPr>
            <w:rStyle w:val="Hipervnculo"/>
            <w:noProof/>
          </w:rPr>
          <w:t>Figure 5.4. Workers routinely using spreadsheets or word processing software,</w:t>
        </w:r>
        <w:r w:rsidR="00111F7F">
          <w:rPr>
            <w:rStyle w:val="Hipervnculo"/>
            <w:noProof/>
          </w:rPr>
          <w:br/>
        </w:r>
        <w:r w:rsidR="004B2E78" w:rsidRPr="00C22046">
          <w:rPr>
            <w:rStyle w:val="Hipervnculo"/>
            <w:noProof/>
          </w:rPr>
          <w:t>by age group, 2016</w:t>
        </w:r>
        <w:r w:rsidR="004B2E78">
          <w:rPr>
            <w:noProof/>
            <w:webHidden/>
          </w:rPr>
          <w:tab/>
        </w:r>
        <w:r w:rsidR="004B2E78">
          <w:rPr>
            <w:noProof/>
            <w:webHidden/>
          </w:rPr>
          <w:fldChar w:fldCharType="begin"/>
        </w:r>
        <w:r w:rsidR="004B2E78">
          <w:rPr>
            <w:noProof/>
            <w:webHidden/>
          </w:rPr>
          <w:instrText xml:space="preserve"> PAGEREF _Toc493088718 \h </w:instrText>
        </w:r>
        <w:r w:rsidR="004B2E78">
          <w:rPr>
            <w:noProof/>
            <w:webHidden/>
          </w:rPr>
        </w:r>
        <w:r w:rsidR="004B2E78">
          <w:rPr>
            <w:noProof/>
            <w:webHidden/>
          </w:rPr>
          <w:fldChar w:fldCharType="separate"/>
        </w:r>
        <w:r w:rsidR="00235C4A">
          <w:rPr>
            <w:noProof/>
            <w:webHidden/>
          </w:rPr>
          <w:t>182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19" w:history="1">
        <w:r w:rsidR="004B2E78" w:rsidRPr="00C22046">
          <w:rPr>
            <w:rStyle w:val="Hipervnculo"/>
            <w:noProof/>
          </w:rPr>
          <w:t>Figure 5.5. Age differences in the use of increasingly complex software,</w:t>
        </w:r>
        <w:r w:rsidR="00111F7F">
          <w:rPr>
            <w:rStyle w:val="Hipervnculo"/>
            <w:noProof/>
          </w:rPr>
          <w:br/>
        </w:r>
        <w:r w:rsidR="004B2E78" w:rsidRPr="00C22046">
          <w:rPr>
            <w:rStyle w:val="Hipervnculo"/>
            <w:noProof/>
          </w:rPr>
          <w:t>average across countries, 2016</w:t>
        </w:r>
        <w:r w:rsidR="004B2E78">
          <w:rPr>
            <w:noProof/>
            <w:webHidden/>
          </w:rPr>
          <w:tab/>
        </w:r>
        <w:r w:rsidR="004B2E78">
          <w:rPr>
            <w:noProof/>
            <w:webHidden/>
          </w:rPr>
          <w:fldChar w:fldCharType="begin"/>
        </w:r>
        <w:r w:rsidR="004B2E78">
          <w:rPr>
            <w:noProof/>
            <w:webHidden/>
          </w:rPr>
          <w:instrText xml:space="preserve"> PAGEREF _Toc493088719 \h </w:instrText>
        </w:r>
        <w:r w:rsidR="004B2E78">
          <w:rPr>
            <w:noProof/>
            <w:webHidden/>
          </w:rPr>
        </w:r>
        <w:r w:rsidR="004B2E78">
          <w:rPr>
            <w:noProof/>
            <w:webHidden/>
          </w:rPr>
          <w:fldChar w:fldCharType="separate"/>
        </w:r>
        <w:r w:rsidR="00235C4A">
          <w:rPr>
            <w:noProof/>
            <w:webHidden/>
          </w:rPr>
          <w:t>183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0" w:history="1">
        <w:r w:rsidR="004B2E78" w:rsidRPr="00C22046">
          <w:rPr>
            <w:rStyle w:val="Hipervnculo"/>
            <w:noProof/>
          </w:rPr>
          <w:t>Figure 5.6. Daily use of email or the Internet, by routine-task intensity of occupation,</w:t>
        </w:r>
        <w:r w:rsidR="00111F7F">
          <w:rPr>
            <w:rStyle w:val="Hipervnculo"/>
            <w:noProof/>
          </w:rPr>
          <w:br/>
        </w:r>
        <w:r w:rsidR="004B2E78" w:rsidRPr="00C22046">
          <w:rPr>
            <w:rStyle w:val="Hipervnculo"/>
            <w:noProof/>
          </w:rPr>
          <w:t>2016</w:t>
        </w:r>
        <w:r w:rsidR="004B2E78">
          <w:rPr>
            <w:noProof/>
            <w:webHidden/>
          </w:rPr>
          <w:tab/>
        </w:r>
        <w:r w:rsidR="004B2E78">
          <w:rPr>
            <w:noProof/>
            <w:webHidden/>
          </w:rPr>
          <w:fldChar w:fldCharType="begin"/>
        </w:r>
        <w:r w:rsidR="004B2E78">
          <w:rPr>
            <w:noProof/>
            <w:webHidden/>
          </w:rPr>
          <w:instrText xml:space="preserve"> PAGEREF _Toc493088720 \h </w:instrText>
        </w:r>
        <w:r w:rsidR="004B2E78">
          <w:rPr>
            <w:noProof/>
            <w:webHidden/>
          </w:rPr>
        </w:r>
        <w:r w:rsidR="004B2E78">
          <w:rPr>
            <w:noProof/>
            <w:webHidden/>
          </w:rPr>
          <w:fldChar w:fldCharType="separate"/>
        </w:r>
        <w:r w:rsidR="00235C4A">
          <w:rPr>
            <w:noProof/>
            <w:webHidden/>
          </w:rPr>
          <w:t>184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1" w:history="1">
        <w:r w:rsidR="004B2E78" w:rsidRPr="00C22046">
          <w:rPr>
            <w:rStyle w:val="Hipervnculo"/>
            <w:noProof/>
          </w:rPr>
          <w:t>Figure 5.7. Share of older workers (55-64) in total employment in occupations</w:t>
        </w:r>
        <w:r w:rsidR="00111F7F">
          <w:rPr>
            <w:rStyle w:val="Hipervnculo"/>
            <w:noProof/>
          </w:rPr>
          <w:br/>
        </w:r>
        <w:r w:rsidR="004B2E78" w:rsidRPr="00C22046">
          <w:rPr>
            <w:rStyle w:val="Hipervnculo"/>
            <w:noProof/>
          </w:rPr>
          <w:t xml:space="preserve"> where ICT intensity is low and high, 2016</w:t>
        </w:r>
        <w:r w:rsidR="004B2E78">
          <w:rPr>
            <w:noProof/>
            <w:webHidden/>
          </w:rPr>
          <w:tab/>
        </w:r>
        <w:r w:rsidR="004B2E78">
          <w:rPr>
            <w:noProof/>
            <w:webHidden/>
          </w:rPr>
          <w:fldChar w:fldCharType="begin"/>
        </w:r>
        <w:r w:rsidR="004B2E78">
          <w:rPr>
            <w:noProof/>
            <w:webHidden/>
          </w:rPr>
          <w:instrText xml:space="preserve"> PAGEREF _Toc493088721 \h </w:instrText>
        </w:r>
        <w:r w:rsidR="004B2E78">
          <w:rPr>
            <w:noProof/>
            <w:webHidden/>
          </w:rPr>
        </w:r>
        <w:r w:rsidR="004B2E78">
          <w:rPr>
            <w:noProof/>
            <w:webHidden/>
          </w:rPr>
          <w:fldChar w:fldCharType="separate"/>
        </w:r>
        <w:r w:rsidR="00235C4A">
          <w:rPr>
            <w:noProof/>
            <w:webHidden/>
          </w:rPr>
          <w:t>185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2" w:history="1">
        <w:r w:rsidR="004B2E78" w:rsidRPr="00C22046">
          <w:rPr>
            <w:rStyle w:val="Hipervnculo"/>
            <w:noProof/>
          </w:rPr>
          <w:t>Figure 5.8. Effects of technological change on the risk of unemployment among</w:t>
        </w:r>
        <w:r w:rsidR="00111F7F">
          <w:rPr>
            <w:rStyle w:val="Hipervnculo"/>
            <w:noProof/>
          </w:rPr>
          <w:br/>
        </w:r>
        <w:r w:rsidR="004B2E78" w:rsidRPr="00C22046">
          <w:rPr>
            <w:rStyle w:val="Hipervnculo"/>
            <w:noProof/>
          </w:rPr>
          <w:t>older workers (aged 55-64), 2016</w:t>
        </w:r>
        <w:r w:rsidR="004B2E78">
          <w:rPr>
            <w:noProof/>
            <w:webHidden/>
          </w:rPr>
          <w:tab/>
        </w:r>
        <w:r w:rsidR="004B2E78">
          <w:rPr>
            <w:noProof/>
            <w:webHidden/>
          </w:rPr>
          <w:fldChar w:fldCharType="begin"/>
        </w:r>
        <w:r w:rsidR="004B2E78">
          <w:rPr>
            <w:noProof/>
            <w:webHidden/>
          </w:rPr>
          <w:instrText xml:space="preserve"> PAGEREF _Toc493088722 \h </w:instrText>
        </w:r>
        <w:r w:rsidR="004B2E78">
          <w:rPr>
            <w:noProof/>
            <w:webHidden/>
          </w:rPr>
        </w:r>
        <w:r w:rsidR="004B2E78">
          <w:rPr>
            <w:noProof/>
            <w:webHidden/>
          </w:rPr>
          <w:fldChar w:fldCharType="separate"/>
        </w:r>
        <w:r w:rsidR="00235C4A">
          <w:rPr>
            <w:noProof/>
            <w:webHidden/>
          </w:rPr>
          <w:t>186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3" w:history="1">
        <w:r w:rsidR="004B2E78" w:rsidRPr="00C22046">
          <w:rPr>
            <w:rStyle w:val="Hipervnculo"/>
            <w:noProof/>
          </w:rPr>
          <w:t>Figure 5.9. Highly educated older workers are, on average, more likely to have access</w:t>
        </w:r>
        <w:r w:rsidR="00111F7F">
          <w:rPr>
            <w:rStyle w:val="Hipervnculo"/>
            <w:noProof/>
          </w:rPr>
          <w:br/>
        </w:r>
        <w:r w:rsidR="004B2E78" w:rsidRPr="00C22046">
          <w:rPr>
            <w:rStyle w:val="Hipervnculo"/>
            <w:noProof/>
          </w:rPr>
          <w:t>to continued training, selected OECD countries,</w:t>
        </w:r>
        <w:r w:rsidR="004B2E78" w:rsidRPr="00C22046">
          <w:rPr>
            <w:rStyle w:val="Hipervnculo"/>
            <w:i/>
            <w:noProof/>
            <w:vertAlign w:val="superscript"/>
          </w:rPr>
          <w:t>a</w:t>
        </w:r>
        <w:r w:rsidR="004B2E78" w:rsidRPr="00C22046">
          <w:rPr>
            <w:rStyle w:val="Hipervnculo"/>
            <w:noProof/>
          </w:rPr>
          <w:t xml:space="preserve"> 2012 and 2015</w:t>
        </w:r>
        <w:r w:rsidR="004B2E78" w:rsidRPr="00C22046">
          <w:rPr>
            <w:rStyle w:val="Hipervnculo"/>
            <w:i/>
            <w:noProof/>
            <w:vertAlign w:val="superscript"/>
          </w:rPr>
          <w:t>b</w:t>
        </w:r>
        <w:r w:rsidR="004B2E78">
          <w:rPr>
            <w:noProof/>
            <w:webHidden/>
          </w:rPr>
          <w:tab/>
        </w:r>
        <w:r w:rsidR="004B2E78">
          <w:rPr>
            <w:noProof/>
            <w:webHidden/>
          </w:rPr>
          <w:fldChar w:fldCharType="begin"/>
        </w:r>
        <w:r w:rsidR="004B2E78">
          <w:rPr>
            <w:noProof/>
            <w:webHidden/>
          </w:rPr>
          <w:instrText xml:space="preserve"> PAGEREF _Toc493088723 \h </w:instrText>
        </w:r>
        <w:r w:rsidR="004B2E78">
          <w:rPr>
            <w:noProof/>
            <w:webHidden/>
          </w:rPr>
        </w:r>
        <w:r w:rsidR="004B2E78">
          <w:rPr>
            <w:noProof/>
            <w:webHidden/>
          </w:rPr>
          <w:fldChar w:fldCharType="separate"/>
        </w:r>
        <w:r w:rsidR="00235C4A">
          <w:rPr>
            <w:noProof/>
            <w:webHidden/>
          </w:rPr>
          <w:t>188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4" w:history="1">
        <w:r w:rsidR="004B2E78" w:rsidRPr="00C22046">
          <w:rPr>
            <w:rStyle w:val="Hipervnculo"/>
            <w:noProof/>
          </w:rPr>
          <w:t>Figure 5.10. Changes in labour market (LM) exit ages and life expectancy (LE) at the age</w:t>
        </w:r>
        <w:r w:rsidR="00111F7F">
          <w:rPr>
            <w:rStyle w:val="Hipervnculo"/>
            <w:noProof/>
          </w:rPr>
          <w:br/>
        </w:r>
        <w:r w:rsidR="004B2E78" w:rsidRPr="00C22046">
          <w:rPr>
            <w:rStyle w:val="Hipervnculo"/>
            <w:noProof/>
          </w:rPr>
          <w:t>of 65 among men and women since 1975</w:t>
        </w:r>
        <w:r w:rsidR="004B2E78">
          <w:rPr>
            <w:noProof/>
            <w:webHidden/>
          </w:rPr>
          <w:tab/>
        </w:r>
        <w:r w:rsidR="004B2E78">
          <w:rPr>
            <w:noProof/>
            <w:webHidden/>
          </w:rPr>
          <w:fldChar w:fldCharType="begin"/>
        </w:r>
        <w:r w:rsidR="004B2E78">
          <w:rPr>
            <w:noProof/>
            <w:webHidden/>
          </w:rPr>
          <w:instrText xml:space="preserve"> PAGEREF _Toc493088724 \h </w:instrText>
        </w:r>
        <w:r w:rsidR="004B2E78">
          <w:rPr>
            <w:noProof/>
            <w:webHidden/>
          </w:rPr>
        </w:r>
        <w:r w:rsidR="004B2E78">
          <w:rPr>
            <w:noProof/>
            <w:webHidden/>
          </w:rPr>
          <w:fldChar w:fldCharType="separate"/>
        </w:r>
        <w:r w:rsidR="00235C4A">
          <w:rPr>
            <w:noProof/>
            <w:webHidden/>
          </w:rPr>
          <w:t>195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5" w:history="1">
        <w:r w:rsidR="004B2E78" w:rsidRPr="00C22046">
          <w:rPr>
            <w:rStyle w:val="Hipervnculo"/>
            <w:noProof/>
          </w:rPr>
          <w:t>Figure 5.11. Labour market participation among older workers in their 50s and 60s</w:t>
        </w:r>
        <w:r w:rsidR="00111F7F">
          <w:rPr>
            <w:rStyle w:val="Hipervnculo"/>
            <w:noProof/>
          </w:rPr>
          <w:br/>
        </w:r>
        <w:r w:rsidR="004B2E78" w:rsidRPr="00C22046">
          <w:rPr>
            <w:rStyle w:val="Hipervnculo"/>
            <w:noProof/>
          </w:rPr>
          <w:t>and remaining life expectancy, 2015 or latest</w:t>
        </w:r>
        <w:r w:rsidR="004B2E78">
          <w:rPr>
            <w:noProof/>
            <w:webHidden/>
          </w:rPr>
          <w:tab/>
        </w:r>
        <w:r w:rsidR="004B2E78">
          <w:rPr>
            <w:noProof/>
            <w:webHidden/>
          </w:rPr>
          <w:fldChar w:fldCharType="begin"/>
        </w:r>
        <w:r w:rsidR="004B2E78">
          <w:rPr>
            <w:noProof/>
            <w:webHidden/>
          </w:rPr>
          <w:instrText xml:space="preserve"> PAGEREF _Toc493088725 \h </w:instrText>
        </w:r>
        <w:r w:rsidR="004B2E78">
          <w:rPr>
            <w:noProof/>
            <w:webHidden/>
          </w:rPr>
        </w:r>
        <w:r w:rsidR="004B2E78">
          <w:rPr>
            <w:noProof/>
            <w:webHidden/>
          </w:rPr>
          <w:fldChar w:fldCharType="separate"/>
        </w:r>
        <w:r w:rsidR="00235C4A">
          <w:rPr>
            <w:noProof/>
            <w:webHidden/>
          </w:rPr>
          <w:t>197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6" w:history="1">
        <w:r w:rsidR="004B2E78" w:rsidRPr="00C22046">
          <w:rPr>
            <w:rStyle w:val="Hipervnculo"/>
            <w:noProof/>
          </w:rPr>
          <w:t>Figure 5.12. Labour force participation among older workers: Actual rates, upper frontiers (estimated maximum health-related work capacities) and the lower frontiers</w:t>
        </w:r>
        <w:r w:rsidR="00111F7F">
          <w:rPr>
            <w:rStyle w:val="Hipervnculo"/>
            <w:noProof/>
          </w:rPr>
          <w:br/>
        </w:r>
        <w:r w:rsidR="004B2E78" w:rsidRPr="00C22046">
          <w:rPr>
            <w:rStyle w:val="Hipervnculo"/>
            <w:noProof/>
          </w:rPr>
          <w:t>of labour force participation, 2015 or latest available year</w:t>
        </w:r>
        <w:r w:rsidR="004B2E78">
          <w:rPr>
            <w:noProof/>
            <w:webHidden/>
          </w:rPr>
          <w:tab/>
        </w:r>
        <w:r w:rsidR="004B2E78">
          <w:rPr>
            <w:noProof/>
            <w:webHidden/>
          </w:rPr>
          <w:fldChar w:fldCharType="begin"/>
        </w:r>
        <w:r w:rsidR="004B2E78">
          <w:rPr>
            <w:noProof/>
            <w:webHidden/>
          </w:rPr>
          <w:instrText xml:space="preserve"> PAGEREF _Toc493088726 \h </w:instrText>
        </w:r>
        <w:r w:rsidR="004B2E78">
          <w:rPr>
            <w:noProof/>
            <w:webHidden/>
          </w:rPr>
        </w:r>
        <w:r w:rsidR="004B2E78">
          <w:rPr>
            <w:noProof/>
            <w:webHidden/>
          </w:rPr>
          <w:fldChar w:fldCharType="separate"/>
        </w:r>
        <w:r w:rsidR="00235C4A">
          <w:rPr>
            <w:noProof/>
            <w:webHidden/>
          </w:rPr>
          <w:t>198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7" w:history="1">
        <w:r w:rsidR="004B2E78" w:rsidRPr="00C22046">
          <w:rPr>
            <w:rStyle w:val="Hipervnculo"/>
            <w:noProof/>
          </w:rPr>
          <w:t>Figure 5.13. Gender gaps in labour force participation among 50-69 year-olds, 2015</w:t>
        </w:r>
        <w:r w:rsidR="00111F7F">
          <w:rPr>
            <w:rStyle w:val="Hipervnculo"/>
            <w:noProof/>
          </w:rPr>
          <w:br/>
        </w:r>
        <w:r w:rsidR="004B2E78" w:rsidRPr="00C22046">
          <w:rPr>
            <w:rStyle w:val="Hipervnculo"/>
            <w:noProof/>
          </w:rPr>
          <w:t>or latest available year</w:t>
        </w:r>
        <w:r w:rsidR="004B2E78">
          <w:rPr>
            <w:noProof/>
            <w:webHidden/>
          </w:rPr>
          <w:tab/>
        </w:r>
        <w:r w:rsidR="004B2E78">
          <w:rPr>
            <w:noProof/>
            <w:webHidden/>
          </w:rPr>
          <w:fldChar w:fldCharType="begin"/>
        </w:r>
        <w:r w:rsidR="004B2E78">
          <w:rPr>
            <w:noProof/>
            <w:webHidden/>
          </w:rPr>
          <w:instrText xml:space="preserve"> PAGEREF _Toc493088727 \h </w:instrText>
        </w:r>
        <w:r w:rsidR="004B2E78">
          <w:rPr>
            <w:noProof/>
            <w:webHidden/>
          </w:rPr>
        </w:r>
        <w:r w:rsidR="004B2E78">
          <w:rPr>
            <w:noProof/>
            <w:webHidden/>
          </w:rPr>
          <w:fldChar w:fldCharType="separate"/>
        </w:r>
        <w:r w:rsidR="00235C4A">
          <w:rPr>
            <w:noProof/>
            <w:webHidden/>
          </w:rPr>
          <w:t>199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8" w:history="1">
        <w:r w:rsidR="004B2E78" w:rsidRPr="00C22046">
          <w:rPr>
            <w:rStyle w:val="Hipervnculo"/>
            <w:noProof/>
          </w:rPr>
          <w:t>Figure 5.14. Differences in estimated health-related work capacity between educational</w:t>
        </w:r>
        <w:r w:rsidR="00111F7F">
          <w:rPr>
            <w:rStyle w:val="Hipervnculo"/>
            <w:noProof/>
          </w:rPr>
          <w:br/>
        </w:r>
        <w:r w:rsidR="004B2E78" w:rsidRPr="00C22046">
          <w:rPr>
            <w:rStyle w:val="Hipervnculo"/>
            <w:noProof/>
          </w:rPr>
          <w:t>groups, 2015 or latest available year</w:t>
        </w:r>
        <w:r w:rsidR="004B2E78">
          <w:rPr>
            <w:noProof/>
            <w:webHidden/>
          </w:rPr>
          <w:tab/>
        </w:r>
        <w:r w:rsidR="004B2E78">
          <w:rPr>
            <w:noProof/>
            <w:webHidden/>
          </w:rPr>
          <w:fldChar w:fldCharType="begin"/>
        </w:r>
        <w:r w:rsidR="004B2E78">
          <w:rPr>
            <w:noProof/>
            <w:webHidden/>
          </w:rPr>
          <w:instrText xml:space="preserve"> PAGEREF _Toc493088728 \h </w:instrText>
        </w:r>
        <w:r w:rsidR="004B2E78">
          <w:rPr>
            <w:noProof/>
            <w:webHidden/>
          </w:rPr>
        </w:r>
        <w:r w:rsidR="004B2E78">
          <w:rPr>
            <w:noProof/>
            <w:webHidden/>
          </w:rPr>
          <w:fldChar w:fldCharType="separate"/>
        </w:r>
        <w:r w:rsidR="00235C4A">
          <w:rPr>
            <w:noProof/>
            <w:webHidden/>
          </w:rPr>
          <w:t>200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29" w:history="1">
        <w:r w:rsidR="004B2E78" w:rsidRPr="00C22046">
          <w:rPr>
            <w:rStyle w:val="Hipervnculo"/>
            <w:noProof/>
          </w:rPr>
          <w:t>Figure 5.15. Effect of the time left to legal retirement age on the probability of retiring</w:t>
        </w:r>
        <w:r w:rsidR="00111F7F">
          <w:rPr>
            <w:rStyle w:val="Hipervnculo"/>
            <w:noProof/>
          </w:rPr>
          <w:br/>
        </w:r>
        <w:r w:rsidR="004B2E78" w:rsidRPr="00C22046">
          <w:rPr>
            <w:rStyle w:val="Hipervnculo"/>
            <w:noProof/>
          </w:rPr>
          <w:t>over the next two years</w:t>
        </w:r>
        <w:r w:rsidR="004B2E78">
          <w:rPr>
            <w:noProof/>
            <w:webHidden/>
          </w:rPr>
          <w:tab/>
        </w:r>
        <w:r w:rsidR="004B2E78">
          <w:rPr>
            <w:noProof/>
            <w:webHidden/>
          </w:rPr>
          <w:fldChar w:fldCharType="begin"/>
        </w:r>
        <w:r w:rsidR="004B2E78">
          <w:rPr>
            <w:noProof/>
            <w:webHidden/>
          </w:rPr>
          <w:instrText xml:space="preserve"> PAGEREF _Toc493088729 \h </w:instrText>
        </w:r>
        <w:r w:rsidR="004B2E78">
          <w:rPr>
            <w:noProof/>
            <w:webHidden/>
          </w:rPr>
        </w:r>
        <w:r w:rsidR="004B2E78">
          <w:rPr>
            <w:noProof/>
            <w:webHidden/>
          </w:rPr>
          <w:fldChar w:fldCharType="separate"/>
        </w:r>
        <w:r w:rsidR="00235C4A">
          <w:rPr>
            <w:noProof/>
            <w:webHidden/>
          </w:rPr>
          <w:t>201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0" w:history="1">
        <w:r w:rsidR="004B2E78" w:rsidRPr="00C22046">
          <w:rPr>
            <w:rStyle w:val="Hipervnculo"/>
            <w:noProof/>
          </w:rPr>
          <w:t>Figure 5.16. Increases in the probability of retirement due to poor health and poor</w:t>
        </w:r>
        <w:r w:rsidR="00111F7F">
          <w:rPr>
            <w:rStyle w:val="Hipervnculo"/>
            <w:noProof/>
          </w:rPr>
          <w:br/>
        </w:r>
        <w:r w:rsidR="004B2E78" w:rsidRPr="00C22046">
          <w:rPr>
            <w:rStyle w:val="Hipervnculo"/>
            <w:noProof/>
          </w:rPr>
          <w:t>job quality</w:t>
        </w:r>
        <w:r w:rsidR="004B2E78">
          <w:rPr>
            <w:noProof/>
            <w:webHidden/>
          </w:rPr>
          <w:tab/>
        </w:r>
        <w:r w:rsidR="004B2E78">
          <w:rPr>
            <w:noProof/>
            <w:webHidden/>
          </w:rPr>
          <w:fldChar w:fldCharType="begin"/>
        </w:r>
        <w:r w:rsidR="004B2E78">
          <w:rPr>
            <w:noProof/>
            <w:webHidden/>
          </w:rPr>
          <w:instrText xml:space="preserve"> PAGEREF _Toc493088730 \h </w:instrText>
        </w:r>
        <w:r w:rsidR="004B2E78">
          <w:rPr>
            <w:noProof/>
            <w:webHidden/>
          </w:rPr>
        </w:r>
        <w:r w:rsidR="004B2E78">
          <w:rPr>
            <w:noProof/>
            <w:webHidden/>
          </w:rPr>
          <w:fldChar w:fldCharType="separate"/>
        </w:r>
        <w:r w:rsidR="00235C4A">
          <w:rPr>
            <w:noProof/>
            <w:webHidden/>
          </w:rPr>
          <w:t>202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1" w:history="1">
        <w:r w:rsidR="004B2E78" w:rsidRPr="00C22046">
          <w:rPr>
            <w:rStyle w:val="Hipervnculo"/>
            <w:noProof/>
          </w:rPr>
          <w:t>Figure 5.17. Retirement probability of married workers, by retirement status of</w:t>
        </w:r>
        <w:r w:rsidR="00111F7F">
          <w:rPr>
            <w:rStyle w:val="Hipervnculo"/>
            <w:noProof/>
          </w:rPr>
          <w:br/>
        </w:r>
        <w:r w:rsidR="004B2E78" w:rsidRPr="00C22046">
          <w:rPr>
            <w:rStyle w:val="Hipervnculo"/>
            <w:noProof/>
          </w:rPr>
          <w:t xml:space="preserve"> worker’s spouse</w:t>
        </w:r>
        <w:r w:rsidR="004B2E78">
          <w:rPr>
            <w:noProof/>
            <w:webHidden/>
          </w:rPr>
          <w:tab/>
        </w:r>
        <w:r w:rsidR="004B2E78">
          <w:rPr>
            <w:noProof/>
            <w:webHidden/>
          </w:rPr>
          <w:fldChar w:fldCharType="begin"/>
        </w:r>
        <w:r w:rsidR="004B2E78">
          <w:rPr>
            <w:noProof/>
            <w:webHidden/>
          </w:rPr>
          <w:instrText xml:space="preserve"> PAGEREF _Toc493088731 \h </w:instrText>
        </w:r>
        <w:r w:rsidR="004B2E78">
          <w:rPr>
            <w:noProof/>
            <w:webHidden/>
          </w:rPr>
        </w:r>
        <w:r w:rsidR="004B2E78">
          <w:rPr>
            <w:noProof/>
            <w:webHidden/>
          </w:rPr>
          <w:fldChar w:fldCharType="separate"/>
        </w:r>
        <w:r w:rsidR="00235C4A">
          <w:rPr>
            <w:noProof/>
            <w:webHidden/>
          </w:rPr>
          <w:t>204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2" w:history="1">
        <w:r w:rsidR="004B2E78" w:rsidRPr="00C22046">
          <w:rPr>
            <w:rStyle w:val="Hipervnculo"/>
            <w:noProof/>
          </w:rPr>
          <w:t>Figure 5.18. First-tier old age pension benefits as a percentage of average earnings, 2015</w:t>
        </w:r>
        <w:r w:rsidR="004B2E78">
          <w:rPr>
            <w:noProof/>
            <w:webHidden/>
          </w:rPr>
          <w:tab/>
        </w:r>
        <w:r w:rsidR="004B2E78">
          <w:rPr>
            <w:noProof/>
            <w:webHidden/>
          </w:rPr>
          <w:fldChar w:fldCharType="begin"/>
        </w:r>
        <w:r w:rsidR="004B2E78">
          <w:rPr>
            <w:noProof/>
            <w:webHidden/>
          </w:rPr>
          <w:instrText xml:space="preserve"> PAGEREF _Toc493088732 \h </w:instrText>
        </w:r>
        <w:r w:rsidR="004B2E78">
          <w:rPr>
            <w:noProof/>
            <w:webHidden/>
          </w:rPr>
        </w:r>
        <w:r w:rsidR="004B2E78">
          <w:rPr>
            <w:noProof/>
            <w:webHidden/>
          </w:rPr>
          <w:fldChar w:fldCharType="separate"/>
        </w:r>
        <w:r w:rsidR="00235C4A">
          <w:rPr>
            <w:noProof/>
            <w:webHidden/>
          </w:rPr>
          <w:t>205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3" w:history="1">
        <w:r w:rsidR="004B2E78" w:rsidRPr="00C22046">
          <w:rPr>
            <w:rStyle w:val="Hipervnculo"/>
            <w:noProof/>
          </w:rPr>
          <w:t>Figure 5.19. Net projected pension replacement rates from mandatory schemes</w:t>
        </w:r>
        <w:r w:rsidR="00E93074">
          <w:rPr>
            <w:rStyle w:val="Hipervnculo"/>
            <w:noProof/>
          </w:rPr>
          <w:br/>
        </w:r>
        <w:r w:rsidR="004B2E78" w:rsidRPr="00C22046">
          <w:rPr>
            <w:rStyle w:val="Hipervnculo"/>
            <w:noProof/>
          </w:rPr>
          <w:t>for low earners</w:t>
        </w:r>
        <w:r w:rsidR="004B2E78">
          <w:rPr>
            <w:noProof/>
            <w:webHidden/>
          </w:rPr>
          <w:tab/>
        </w:r>
        <w:r w:rsidR="004B2E78">
          <w:rPr>
            <w:noProof/>
            <w:webHidden/>
          </w:rPr>
          <w:fldChar w:fldCharType="begin"/>
        </w:r>
        <w:r w:rsidR="004B2E78">
          <w:rPr>
            <w:noProof/>
            <w:webHidden/>
          </w:rPr>
          <w:instrText xml:space="preserve"> PAGEREF _Toc493088733 \h </w:instrText>
        </w:r>
        <w:r w:rsidR="004B2E78">
          <w:rPr>
            <w:noProof/>
            <w:webHidden/>
          </w:rPr>
        </w:r>
        <w:r w:rsidR="004B2E78">
          <w:rPr>
            <w:noProof/>
            <w:webHidden/>
          </w:rPr>
          <w:fldChar w:fldCharType="separate"/>
        </w:r>
        <w:r w:rsidR="00235C4A">
          <w:rPr>
            <w:noProof/>
            <w:webHidden/>
          </w:rPr>
          <w:t>206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4" w:history="1">
        <w:r w:rsidR="004B2E78" w:rsidRPr="00C22046">
          <w:rPr>
            <w:rStyle w:val="Hipervnculo"/>
            <w:noProof/>
          </w:rPr>
          <w:t>Figure 5.20. Low earners’ net replacement rates from mandatory pension schemes</w:t>
        </w:r>
        <w:r w:rsidR="00E93074">
          <w:rPr>
            <w:rStyle w:val="Hipervnculo"/>
            <w:noProof/>
          </w:rPr>
          <w:br/>
        </w:r>
        <w:r w:rsidR="004B2E78" w:rsidRPr="00C22046">
          <w:rPr>
            <w:rStyle w:val="Hipervnculo"/>
            <w:noProof/>
          </w:rPr>
          <w:t>versus coverage from voluntary pension schemes, 2013 and 2014</w:t>
        </w:r>
        <w:r w:rsidR="004B2E78">
          <w:rPr>
            <w:noProof/>
            <w:webHidden/>
          </w:rPr>
          <w:tab/>
        </w:r>
        <w:r w:rsidR="004B2E78">
          <w:rPr>
            <w:noProof/>
            <w:webHidden/>
          </w:rPr>
          <w:fldChar w:fldCharType="begin"/>
        </w:r>
        <w:r w:rsidR="004B2E78">
          <w:rPr>
            <w:noProof/>
            <w:webHidden/>
          </w:rPr>
          <w:instrText xml:space="preserve"> PAGEREF _Toc493088734 \h </w:instrText>
        </w:r>
        <w:r w:rsidR="004B2E78">
          <w:rPr>
            <w:noProof/>
            <w:webHidden/>
          </w:rPr>
        </w:r>
        <w:r w:rsidR="004B2E78">
          <w:rPr>
            <w:noProof/>
            <w:webHidden/>
          </w:rPr>
          <w:fldChar w:fldCharType="separate"/>
        </w:r>
        <w:r w:rsidR="00235C4A">
          <w:rPr>
            <w:noProof/>
            <w:webHidden/>
          </w:rPr>
          <w:t>207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5" w:history="1">
        <w:r w:rsidR="004B2E78" w:rsidRPr="00C22046">
          <w:rPr>
            <w:rStyle w:val="Hipervnculo"/>
            <w:noProof/>
          </w:rPr>
          <w:t>Figure 6.1. The share of older people varies widely between regions and countries</w:t>
        </w:r>
        <w:r w:rsidR="004B2E78">
          <w:rPr>
            <w:noProof/>
            <w:webHidden/>
          </w:rPr>
          <w:tab/>
        </w:r>
        <w:r w:rsidR="004B2E78">
          <w:rPr>
            <w:noProof/>
            <w:webHidden/>
          </w:rPr>
          <w:fldChar w:fldCharType="begin"/>
        </w:r>
        <w:r w:rsidR="004B2E78">
          <w:rPr>
            <w:noProof/>
            <w:webHidden/>
          </w:rPr>
          <w:instrText xml:space="preserve"> PAGEREF _Toc493088735 \h </w:instrText>
        </w:r>
        <w:r w:rsidR="004B2E78">
          <w:rPr>
            <w:noProof/>
            <w:webHidden/>
          </w:rPr>
        </w:r>
        <w:r w:rsidR="004B2E78">
          <w:rPr>
            <w:noProof/>
            <w:webHidden/>
          </w:rPr>
          <w:fldChar w:fldCharType="separate"/>
        </w:r>
        <w:r w:rsidR="00235C4A">
          <w:rPr>
            <w:noProof/>
            <w:webHidden/>
          </w:rPr>
          <w:t>220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7" w:history="1">
        <w:r w:rsidR="004B2E78" w:rsidRPr="00C22046">
          <w:rPr>
            <w:rStyle w:val="Hipervnculo"/>
            <w:noProof/>
          </w:rPr>
          <w:t>Figure 6.2. The share of older people varies a lot between regions within countries</w:t>
        </w:r>
        <w:r w:rsidR="004B2E78">
          <w:rPr>
            <w:noProof/>
            <w:webHidden/>
          </w:rPr>
          <w:tab/>
        </w:r>
        <w:r w:rsidR="004B2E78">
          <w:rPr>
            <w:noProof/>
            <w:webHidden/>
          </w:rPr>
          <w:fldChar w:fldCharType="begin"/>
        </w:r>
        <w:r w:rsidR="004B2E78">
          <w:rPr>
            <w:noProof/>
            <w:webHidden/>
          </w:rPr>
          <w:instrText xml:space="preserve"> PAGEREF _Toc493088737 \h </w:instrText>
        </w:r>
        <w:r w:rsidR="004B2E78">
          <w:rPr>
            <w:noProof/>
            <w:webHidden/>
          </w:rPr>
        </w:r>
        <w:r w:rsidR="004B2E78">
          <w:rPr>
            <w:noProof/>
            <w:webHidden/>
          </w:rPr>
          <w:fldChar w:fldCharType="separate"/>
        </w:r>
        <w:r w:rsidR="00235C4A">
          <w:rPr>
            <w:noProof/>
            <w:webHidden/>
          </w:rPr>
          <w:t>221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8" w:history="1">
        <w:r w:rsidR="004B2E78" w:rsidRPr="00C22046">
          <w:rPr>
            <w:rStyle w:val="Hipervnculo"/>
            <w:noProof/>
          </w:rPr>
          <w:t>Figure 6.3. Predominantly rural regions are ageing slightly faster</w:t>
        </w:r>
        <w:r w:rsidR="004B2E78">
          <w:rPr>
            <w:noProof/>
            <w:webHidden/>
          </w:rPr>
          <w:tab/>
        </w:r>
        <w:r w:rsidR="004B2E78">
          <w:rPr>
            <w:noProof/>
            <w:webHidden/>
          </w:rPr>
          <w:fldChar w:fldCharType="begin"/>
        </w:r>
        <w:r w:rsidR="004B2E78">
          <w:rPr>
            <w:noProof/>
            <w:webHidden/>
          </w:rPr>
          <w:instrText xml:space="preserve"> PAGEREF _Toc493088738 \h </w:instrText>
        </w:r>
        <w:r w:rsidR="004B2E78">
          <w:rPr>
            <w:noProof/>
            <w:webHidden/>
          </w:rPr>
        </w:r>
        <w:r w:rsidR="004B2E78">
          <w:rPr>
            <w:noProof/>
            <w:webHidden/>
          </w:rPr>
          <w:fldChar w:fldCharType="separate"/>
        </w:r>
        <w:r w:rsidR="00235C4A">
          <w:rPr>
            <w:noProof/>
            <w:webHidden/>
          </w:rPr>
          <w:t>223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39" w:history="1">
        <w:r w:rsidR="004B2E78" w:rsidRPr="00C22046">
          <w:rPr>
            <w:rStyle w:val="Hipervnculo"/>
            <w:noProof/>
          </w:rPr>
          <w:t>Figure 6.4. The regional concentration of older people is moderate</w:t>
        </w:r>
        <w:r w:rsidR="004B2E78">
          <w:rPr>
            <w:noProof/>
            <w:webHidden/>
          </w:rPr>
          <w:tab/>
        </w:r>
        <w:r w:rsidR="004B2E78">
          <w:rPr>
            <w:noProof/>
            <w:webHidden/>
          </w:rPr>
          <w:fldChar w:fldCharType="begin"/>
        </w:r>
        <w:r w:rsidR="004B2E78">
          <w:rPr>
            <w:noProof/>
            <w:webHidden/>
          </w:rPr>
          <w:instrText xml:space="preserve"> PAGEREF _Toc493088739 \h </w:instrText>
        </w:r>
        <w:r w:rsidR="004B2E78">
          <w:rPr>
            <w:noProof/>
            <w:webHidden/>
          </w:rPr>
        </w:r>
        <w:r w:rsidR="004B2E78">
          <w:rPr>
            <w:noProof/>
            <w:webHidden/>
          </w:rPr>
          <w:fldChar w:fldCharType="separate"/>
        </w:r>
        <w:r w:rsidR="00235C4A">
          <w:rPr>
            <w:noProof/>
            <w:webHidden/>
          </w:rPr>
          <w:t>224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0" w:history="1">
        <w:r w:rsidR="004B2E78" w:rsidRPr="00C22046">
          <w:rPr>
            <w:rStyle w:val="Hipervnculo"/>
            <w:noProof/>
          </w:rPr>
          <w:t>Figure 6.5. Large regional disparities in the ratio of active physicians to older people</w:t>
        </w:r>
        <w:r w:rsidR="004B2E78">
          <w:rPr>
            <w:noProof/>
            <w:webHidden/>
          </w:rPr>
          <w:tab/>
        </w:r>
        <w:r w:rsidR="004B2E78">
          <w:rPr>
            <w:noProof/>
            <w:webHidden/>
          </w:rPr>
          <w:fldChar w:fldCharType="begin"/>
        </w:r>
        <w:r w:rsidR="004B2E78">
          <w:rPr>
            <w:noProof/>
            <w:webHidden/>
          </w:rPr>
          <w:instrText xml:space="preserve"> PAGEREF _Toc493088740 \h </w:instrText>
        </w:r>
        <w:r w:rsidR="004B2E78">
          <w:rPr>
            <w:noProof/>
            <w:webHidden/>
          </w:rPr>
        </w:r>
        <w:r w:rsidR="004B2E78">
          <w:rPr>
            <w:noProof/>
            <w:webHidden/>
          </w:rPr>
          <w:fldChar w:fldCharType="separate"/>
        </w:r>
        <w:r w:rsidR="00235C4A">
          <w:rPr>
            <w:noProof/>
            <w:webHidden/>
          </w:rPr>
          <w:t>225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1" w:history="1">
        <w:r w:rsidR="004B2E78" w:rsidRPr="00C22046">
          <w:rPr>
            <w:rStyle w:val="Hipervnculo"/>
            <w:noProof/>
          </w:rPr>
          <w:t>Figure 6.6. Large regional disparities in the ratio of hospital beds to older people</w:t>
        </w:r>
        <w:r w:rsidR="004B2E78">
          <w:rPr>
            <w:noProof/>
            <w:webHidden/>
          </w:rPr>
          <w:tab/>
        </w:r>
        <w:r w:rsidR="004B2E78">
          <w:rPr>
            <w:noProof/>
            <w:webHidden/>
          </w:rPr>
          <w:fldChar w:fldCharType="begin"/>
        </w:r>
        <w:r w:rsidR="004B2E78">
          <w:rPr>
            <w:noProof/>
            <w:webHidden/>
          </w:rPr>
          <w:instrText xml:space="preserve"> PAGEREF _Toc493088741 \h </w:instrText>
        </w:r>
        <w:r w:rsidR="004B2E78">
          <w:rPr>
            <w:noProof/>
            <w:webHidden/>
          </w:rPr>
        </w:r>
        <w:r w:rsidR="004B2E78">
          <w:rPr>
            <w:noProof/>
            <w:webHidden/>
          </w:rPr>
          <w:fldChar w:fldCharType="separate"/>
        </w:r>
        <w:r w:rsidR="00235C4A">
          <w:rPr>
            <w:noProof/>
            <w:webHidden/>
          </w:rPr>
          <w:t>226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2" w:history="1">
        <w:r w:rsidR="004B2E78" w:rsidRPr="00C22046">
          <w:rPr>
            <w:rStyle w:val="Hipervnculo"/>
            <w:noProof/>
          </w:rPr>
          <w:t>Figure 6.7. Physical access to a hospital is difficult for older people in some regions</w:t>
        </w:r>
        <w:r w:rsidR="004B2E78">
          <w:rPr>
            <w:noProof/>
            <w:webHidden/>
          </w:rPr>
          <w:tab/>
        </w:r>
        <w:r w:rsidR="004B2E78">
          <w:rPr>
            <w:noProof/>
            <w:webHidden/>
          </w:rPr>
          <w:fldChar w:fldCharType="begin"/>
        </w:r>
        <w:r w:rsidR="004B2E78">
          <w:rPr>
            <w:noProof/>
            <w:webHidden/>
          </w:rPr>
          <w:instrText xml:space="preserve"> PAGEREF _Toc493088742 \h </w:instrText>
        </w:r>
        <w:r w:rsidR="004B2E78">
          <w:rPr>
            <w:noProof/>
            <w:webHidden/>
          </w:rPr>
        </w:r>
        <w:r w:rsidR="004B2E78">
          <w:rPr>
            <w:noProof/>
            <w:webHidden/>
          </w:rPr>
          <w:fldChar w:fldCharType="separate"/>
        </w:r>
        <w:r w:rsidR="00235C4A">
          <w:rPr>
            <w:noProof/>
            <w:webHidden/>
          </w:rPr>
          <w:t>227</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3" w:history="1">
        <w:r w:rsidR="004B2E78" w:rsidRPr="00C22046">
          <w:rPr>
            <w:rStyle w:val="Hipervnculo"/>
            <w:noProof/>
          </w:rPr>
          <w:t>Figure 6.8. Large regional disparities in the access of older people to public transport</w:t>
        </w:r>
        <w:r w:rsidR="004B2E78">
          <w:rPr>
            <w:noProof/>
            <w:webHidden/>
          </w:rPr>
          <w:tab/>
        </w:r>
        <w:r w:rsidR="004B2E78">
          <w:rPr>
            <w:noProof/>
            <w:webHidden/>
          </w:rPr>
          <w:fldChar w:fldCharType="begin"/>
        </w:r>
        <w:r w:rsidR="004B2E78">
          <w:rPr>
            <w:noProof/>
            <w:webHidden/>
          </w:rPr>
          <w:instrText xml:space="preserve"> PAGEREF _Toc493088743 \h </w:instrText>
        </w:r>
        <w:r w:rsidR="004B2E78">
          <w:rPr>
            <w:noProof/>
            <w:webHidden/>
          </w:rPr>
        </w:r>
        <w:r w:rsidR="004B2E78">
          <w:rPr>
            <w:noProof/>
            <w:webHidden/>
          </w:rPr>
          <w:fldChar w:fldCharType="separate"/>
        </w:r>
        <w:r w:rsidR="00235C4A">
          <w:rPr>
            <w:noProof/>
            <w:webHidden/>
          </w:rPr>
          <w:t>228</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4" w:history="1">
        <w:r w:rsidR="004B2E78" w:rsidRPr="00C22046">
          <w:rPr>
            <w:rStyle w:val="Hipervnculo"/>
            <w:noProof/>
          </w:rPr>
          <w:t>Figure 6.9. The share of people older than 80 years will continue to grow</w:t>
        </w:r>
        <w:r w:rsidR="004B2E78">
          <w:rPr>
            <w:noProof/>
            <w:webHidden/>
          </w:rPr>
          <w:tab/>
        </w:r>
        <w:r w:rsidR="004B2E78">
          <w:rPr>
            <w:noProof/>
            <w:webHidden/>
          </w:rPr>
          <w:fldChar w:fldCharType="begin"/>
        </w:r>
        <w:r w:rsidR="004B2E78">
          <w:rPr>
            <w:noProof/>
            <w:webHidden/>
          </w:rPr>
          <w:instrText xml:space="preserve"> PAGEREF _Toc493088744 \h </w:instrText>
        </w:r>
        <w:r w:rsidR="004B2E78">
          <w:rPr>
            <w:noProof/>
            <w:webHidden/>
          </w:rPr>
        </w:r>
        <w:r w:rsidR="004B2E78">
          <w:rPr>
            <w:noProof/>
            <w:webHidden/>
          </w:rPr>
          <w:fldChar w:fldCharType="separate"/>
        </w:r>
        <w:r w:rsidR="00235C4A">
          <w:rPr>
            <w:noProof/>
            <w:webHidden/>
          </w:rPr>
          <w:t>230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5" w:history="1">
        <w:r w:rsidR="004B2E78" w:rsidRPr="00C22046">
          <w:rPr>
            <w:rStyle w:val="Hipervnculo"/>
            <w:noProof/>
          </w:rPr>
          <w:t>Figure 6.10. Life expectancy at the age of 80 has risen steadily</w:t>
        </w:r>
        <w:r w:rsidR="004B2E78">
          <w:rPr>
            <w:noProof/>
            <w:webHidden/>
          </w:rPr>
          <w:tab/>
        </w:r>
        <w:r w:rsidR="004B2E78">
          <w:rPr>
            <w:noProof/>
            <w:webHidden/>
          </w:rPr>
          <w:fldChar w:fldCharType="begin"/>
        </w:r>
        <w:r w:rsidR="004B2E78">
          <w:rPr>
            <w:noProof/>
            <w:webHidden/>
          </w:rPr>
          <w:instrText xml:space="preserve"> PAGEREF _Toc493088745 \h </w:instrText>
        </w:r>
        <w:r w:rsidR="004B2E78">
          <w:rPr>
            <w:noProof/>
            <w:webHidden/>
          </w:rPr>
        </w:r>
        <w:r w:rsidR="004B2E78">
          <w:rPr>
            <w:noProof/>
            <w:webHidden/>
          </w:rPr>
          <w:fldChar w:fldCharType="separate"/>
        </w:r>
        <w:r w:rsidR="00235C4A">
          <w:rPr>
            <w:noProof/>
            <w:webHidden/>
          </w:rPr>
          <w:t>230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6" w:history="1">
        <w:r w:rsidR="004B2E78" w:rsidRPr="00C22046">
          <w:rPr>
            <w:rStyle w:val="Hipervnculo"/>
            <w:noProof/>
          </w:rPr>
          <w:t>Figure 6.11. Prevalence of excess weight and obesity among the 80+ varies markedly</w:t>
        </w:r>
        <w:r w:rsidR="00E93074">
          <w:rPr>
            <w:rStyle w:val="Hipervnculo"/>
            <w:noProof/>
          </w:rPr>
          <w:br/>
        </w:r>
        <w:r w:rsidR="004B2E78" w:rsidRPr="00C22046">
          <w:rPr>
            <w:rStyle w:val="Hipervnculo"/>
            <w:noProof/>
          </w:rPr>
          <w:t xml:space="preserve"> across countries</w:t>
        </w:r>
        <w:r w:rsidR="004B2E78">
          <w:rPr>
            <w:noProof/>
            <w:webHidden/>
          </w:rPr>
          <w:tab/>
        </w:r>
        <w:r w:rsidR="004B2E78">
          <w:rPr>
            <w:noProof/>
            <w:webHidden/>
          </w:rPr>
          <w:fldChar w:fldCharType="begin"/>
        </w:r>
        <w:r w:rsidR="004B2E78">
          <w:rPr>
            <w:noProof/>
            <w:webHidden/>
          </w:rPr>
          <w:instrText xml:space="preserve"> PAGEREF _Toc493088746 \h </w:instrText>
        </w:r>
        <w:r w:rsidR="004B2E78">
          <w:rPr>
            <w:noProof/>
            <w:webHidden/>
          </w:rPr>
        </w:r>
        <w:r w:rsidR="004B2E78">
          <w:rPr>
            <w:noProof/>
            <w:webHidden/>
          </w:rPr>
          <w:fldChar w:fldCharType="separate"/>
        </w:r>
        <w:r w:rsidR="00235C4A">
          <w:rPr>
            <w:noProof/>
            <w:webHidden/>
          </w:rPr>
          <w:t>232</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7" w:history="1">
        <w:r w:rsidR="004B2E78" w:rsidRPr="00C22046">
          <w:rPr>
            <w:rStyle w:val="Hipervnculo"/>
            <w:noProof/>
          </w:rPr>
          <w:t>Figure 6.12. Women report higher rates of functional limitation</w:t>
        </w:r>
        <w:r w:rsidR="004B2E78">
          <w:rPr>
            <w:noProof/>
            <w:webHidden/>
          </w:rPr>
          <w:tab/>
        </w:r>
        <w:r w:rsidR="004B2E78">
          <w:rPr>
            <w:noProof/>
            <w:webHidden/>
          </w:rPr>
          <w:fldChar w:fldCharType="begin"/>
        </w:r>
        <w:r w:rsidR="004B2E78">
          <w:rPr>
            <w:noProof/>
            <w:webHidden/>
          </w:rPr>
          <w:instrText xml:space="preserve"> PAGEREF _Toc493088747 \h </w:instrText>
        </w:r>
        <w:r w:rsidR="004B2E78">
          <w:rPr>
            <w:noProof/>
            <w:webHidden/>
          </w:rPr>
        </w:r>
        <w:r w:rsidR="004B2E78">
          <w:rPr>
            <w:noProof/>
            <w:webHidden/>
          </w:rPr>
          <w:fldChar w:fldCharType="separate"/>
        </w:r>
        <w:r w:rsidR="00235C4A">
          <w:rPr>
            <w:noProof/>
            <w:webHidden/>
          </w:rPr>
          <w:t>233</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49" w:history="1">
        <w:r w:rsidR="004B2E78" w:rsidRPr="00C22046">
          <w:rPr>
            <w:rStyle w:val="Hipervnculo"/>
            <w:noProof/>
          </w:rPr>
          <w:t>Figure 6.13. Proportion of 80+ showing depressive symptoms is very high</w:t>
        </w:r>
        <w:r w:rsidR="00E93074">
          <w:rPr>
            <w:rStyle w:val="Hipervnculo"/>
            <w:noProof/>
          </w:rPr>
          <w:br/>
        </w:r>
        <w:r w:rsidR="004B2E78" w:rsidRPr="00C22046">
          <w:rPr>
            <w:rStyle w:val="Hipervnculo"/>
            <w:noProof/>
          </w:rPr>
          <w:t>in some countries</w:t>
        </w:r>
        <w:r w:rsidR="004B2E78">
          <w:rPr>
            <w:noProof/>
            <w:webHidden/>
          </w:rPr>
          <w:tab/>
        </w:r>
        <w:r w:rsidR="004B2E78">
          <w:rPr>
            <w:noProof/>
            <w:webHidden/>
          </w:rPr>
          <w:fldChar w:fldCharType="begin"/>
        </w:r>
        <w:r w:rsidR="004B2E78">
          <w:rPr>
            <w:noProof/>
            <w:webHidden/>
          </w:rPr>
          <w:instrText xml:space="preserve"> PAGEREF _Toc493088749 \h </w:instrText>
        </w:r>
        <w:r w:rsidR="004B2E78">
          <w:rPr>
            <w:noProof/>
            <w:webHidden/>
          </w:rPr>
        </w:r>
        <w:r w:rsidR="004B2E78">
          <w:rPr>
            <w:noProof/>
            <w:webHidden/>
          </w:rPr>
          <w:fldChar w:fldCharType="separate"/>
        </w:r>
        <w:r w:rsidR="00235C4A">
          <w:rPr>
            <w:noProof/>
            <w:webHidden/>
          </w:rPr>
          <w:t>234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0" w:history="1">
        <w:r w:rsidR="004B2E78" w:rsidRPr="00C22046">
          <w:rPr>
            <w:rStyle w:val="Hipervnculo"/>
            <w:noProof/>
          </w:rPr>
          <w:t>Figure 6.14. Women older than 80 years live alone much more than men in the same</w:t>
        </w:r>
        <w:r w:rsidR="00E93074">
          <w:rPr>
            <w:rStyle w:val="Hipervnculo"/>
            <w:noProof/>
          </w:rPr>
          <w:br/>
        </w:r>
        <w:r w:rsidR="004B2E78" w:rsidRPr="00C22046">
          <w:rPr>
            <w:rStyle w:val="Hipervnculo"/>
            <w:noProof/>
          </w:rPr>
          <w:t>age group</w:t>
        </w:r>
        <w:r w:rsidR="004B2E78">
          <w:rPr>
            <w:noProof/>
            <w:webHidden/>
          </w:rPr>
          <w:tab/>
        </w:r>
        <w:r w:rsidR="004B2E78">
          <w:rPr>
            <w:noProof/>
            <w:webHidden/>
          </w:rPr>
          <w:fldChar w:fldCharType="begin"/>
        </w:r>
        <w:r w:rsidR="004B2E78">
          <w:rPr>
            <w:noProof/>
            <w:webHidden/>
          </w:rPr>
          <w:instrText xml:space="preserve"> PAGEREF _Toc493088750 \h </w:instrText>
        </w:r>
        <w:r w:rsidR="004B2E78">
          <w:rPr>
            <w:noProof/>
            <w:webHidden/>
          </w:rPr>
        </w:r>
        <w:r w:rsidR="004B2E78">
          <w:rPr>
            <w:noProof/>
            <w:webHidden/>
          </w:rPr>
          <w:fldChar w:fldCharType="separate"/>
        </w:r>
        <w:r w:rsidR="00235C4A">
          <w:rPr>
            <w:noProof/>
            <w:webHidden/>
          </w:rPr>
          <w:t>235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1" w:history="1">
        <w:r w:rsidR="004B2E78" w:rsidRPr="00C22046">
          <w:rPr>
            <w:rStyle w:val="Hipervnculo"/>
            <w:noProof/>
          </w:rPr>
          <w:t>Figure 6.15. Poverty risks are higher among people aged 76 and over on average</w:t>
        </w:r>
        <w:r w:rsidR="00E93074">
          <w:rPr>
            <w:rStyle w:val="Hipervnculo"/>
            <w:noProof/>
          </w:rPr>
          <w:br/>
        </w:r>
        <w:r w:rsidR="004B2E78" w:rsidRPr="00C22046">
          <w:rPr>
            <w:rStyle w:val="Hipervnculo"/>
            <w:noProof/>
          </w:rPr>
          <w:t xml:space="preserve"> in the OECD</w:t>
        </w:r>
        <w:r w:rsidR="004B2E78">
          <w:rPr>
            <w:noProof/>
            <w:webHidden/>
          </w:rPr>
          <w:tab/>
        </w:r>
        <w:r w:rsidR="004B2E78">
          <w:rPr>
            <w:noProof/>
            <w:webHidden/>
          </w:rPr>
          <w:fldChar w:fldCharType="begin"/>
        </w:r>
        <w:r w:rsidR="004B2E78">
          <w:rPr>
            <w:noProof/>
            <w:webHidden/>
          </w:rPr>
          <w:instrText xml:space="preserve"> PAGEREF _Toc493088751 \h </w:instrText>
        </w:r>
        <w:r w:rsidR="004B2E78">
          <w:rPr>
            <w:noProof/>
            <w:webHidden/>
          </w:rPr>
        </w:r>
        <w:r w:rsidR="004B2E78">
          <w:rPr>
            <w:noProof/>
            <w:webHidden/>
          </w:rPr>
          <w:fldChar w:fldCharType="separate"/>
        </w:r>
        <w:r w:rsidR="00235C4A">
          <w:rPr>
            <w:noProof/>
            <w:webHidden/>
          </w:rPr>
          <w:t>236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2" w:history="1">
        <w:r w:rsidR="004B2E78" w:rsidRPr="00C22046">
          <w:rPr>
            <w:rStyle w:val="Hipervnculo"/>
            <w:noProof/>
          </w:rPr>
          <w:t>Figure 6.16. Poverty rates among the over-80s are much higher for those living alone</w:t>
        </w:r>
        <w:r w:rsidR="004B2E78">
          <w:rPr>
            <w:noProof/>
            <w:webHidden/>
          </w:rPr>
          <w:tab/>
        </w:r>
        <w:r w:rsidR="004B2E78">
          <w:rPr>
            <w:noProof/>
            <w:webHidden/>
          </w:rPr>
          <w:fldChar w:fldCharType="begin"/>
        </w:r>
        <w:r w:rsidR="004B2E78">
          <w:rPr>
            <w:noProof/>
            <w:webHidden/>
          </w:rPr>
          <w:instrText xml:space="preserve"> PAGEREF _Toc493088752 \h </w:instrText>
        </w:r>
        <w:r w:rsidR="004B2E78">
          <w:rPr>
            <w:noProof/>
            <w:webHidden/>
          </w:rPr>
        </w:r>
        <w:r w:rsidR="004B2E78">
          <w:rPr>
            <w:noProof/>
            <w:webHidden/>
          </w:rPr>
          <w:fldChar w:fldCharType="separate"/>
        </w:r>
        <w:r w:rsidR="00235C4A">
          <w:rPr>
            <w:noProof/>
            <w:webHidden/>
          </w:rPr>
          <w:t>236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3" w:history="1">
        <w:r w:rsidR="004B2E78" w:rsidRPr="00C22046">
          <w:rPr>
            <w:rStyle w:val="Hipervnculo"/>
            <w:noProof/>
          </w:rPr>
          <w:t>Figure 6.17. Home care costs are high compared to a pensioner’s disposable income</w:t>
        </w:r>
        <w:r w:rsidR="004B2E78">
          <w:rPr>
            <w:noProof/>
            <w:webHidden/>
          </w:rPr>
          <w:tab/>
        </w:r>
        <w:r w:rsidR="004B2E78">
          <w:rPr>
            <w:noProof/>
            <w:webHidden/>
          </w:rPr>
          <w:fldChar w:fldCharType="begin"/>
        </w:r>
        <w:r w:rsidR="004B2E78">
          <w:rPr>
            <w:noProof/>
            <w:webHidden/>
          </w:rPr>
          <w:instrText xml:space="preserve"> PAGEREF _Toc493088753 \h </w:instrText>
        </w:r>
        <w:r w:rsidR="004B2E78">
          <w:rPr>
            <w:noProof/>
            <w:webHidden/>
          </w:rPr>
        </w:r>
        <w:r w:rsidR="004B2E78">
          <w:rPr>
            <w:noProof/>
            <w:webHidden/>
          </w:rPr>
          <w:fldChar w:fldCharType="separate"/>
        </w:r>
        <w:r w:rsidR="00235C4A">
          <w:rPr>
            <w:noProof/>
            <w:webHidden/>
          </w:rPr>
          <w:t>239</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4" w:history="1">
        <w:r w:rsidR="004B2E78" w:rsidRPr="00C22046">
          <w:rPr>
            <w:rStyle w:val="Hipervnculo"/>
            <w:noProof/>
          </w:rPr>
          <w:t>Figure 6.18. Proportion of LTC costs covered by social protection systems differs widely</w:t>
        </w:r>
        <w:r w:rsidR="00E93074">
          <w:rPr>
            <w:rStyle w:val="Hipervnculo"/>
            <w:noProof/>
          </w:rPr>
          <w:br/>
        </w:r>
        <w:r w:rsidR="004B2E78" w:rsidRPr="00C22046">
          <w:rPr>
            <w:rStyle w:val="Hipervnculo"/>
            <w:noProof/>
          </w:rPr>
          <w:t>among countries and income groups</w:t>
        </w:r>
        <w:r w:rsidR="004B2E78">
          <w:rPr>
            <w:noProof/>
            <w:webHidden/>
          </w:rPr>
          <w:tab/>
        </w:r>
        <w:r w:rsidR="004B2E78">
          <w:rPr>
            <w:noProof/>
            <w:webHidden/>
          </w:rPr>
          <w:fldChar w:fldCharType="begin"/>
        </w:r>
        <w:r w:rsidR="004B2E78">
          <w:rPr>
            <w:noProof/>
            <w:webHidden/>
          </w:rPr>
          <w:instrText xml:space="preserve"> PAGEREF _Toc493088754 \h </w:instrText>
        </w:r>
        <w:r w:rsidR="004B2E78">
          <w:rPr>
            <w:noProof/>
            <w:webHidden/>
          </w:rPr>
        </w:r>
        <w:r w:rsidR="004B2E78">
          <w:rPr>
            <w:noProof/>
            <w:webHidden/>
          </w:rPr>
          <w:fldChar w:fldCharType="separate"/>
        </w:r>
        <w:r w:rsidR="00235C4A">
          <w:rPr>
            <w:noProof/>
            <w:webHidden/>
          </w:rPr>
          <w:t>240</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5" w:history="1">
        <w:r w:rsidR="004B2E78" w:rsidRPr="00C22046">
          <w:rPr>
            <w:rStyle w:val="Hipervnculo"/>
            <w:noProof/>
          </w:rPr>
          <w:t>Figure 6.19. Home care for moderate needs is beyond the means of low-income groups</w:t>
        </w:r>
        <w:r w:rsidR="00E93074">
          <w:rPr>
            <w:rStyle w:val="Hipervnculo"/>
            <w:noProof/>
          </w:rPr>
          <w:br/>
        </w:r>
        <w:r w:rsidR="004B2E78" w:rsidRPr="00C22046">
          <w:rPr>
            <w:rStyle w:val="Hipervnculo"/>
            <w:noProof/>
          </w:rPr>
          <w:t xml:space="preserve"> in over half the countries</w:t>
        </w:r>
        <w:r w:rsidR="004B2E78">
          <w:rPr>
            <w:noProof/>
            <w:webHidden/>
          </w:rPr>
          <w:tab/>
        </w:r>
        <w:r w:rsidR="004B2E78">
          <w:rPr>
            <w:noProof/>
            <w:webHidden/>
          </w:rPr>
          <w:fldChar w:fldCharType="begin"/>
        </w:r>
        <w:r w:rsidR="004B2E78">
          <w:rPr>
            <w:noProof/>
            <w:webHidden/>
          </w:rPr>
          <w:instrText xml:space="preserve"> PAGEREF _Toc493088755 \h </w:instrText>
        </w:r>
        <w:r w:rsidR="004B2E78">
          <w:rPr>
            <w:noProof/>
            <w:webHidden/>
          </w:rPr>
        </w:r>
        <w:r w:rsidR="004B2E78">
          <w:rPr>
            <w:noProof/>
            <w:webHidden/>
          </w:rPr>
          <w:fldChar w:fldCharType="separate"/>
        </w:r>
        <w:r w:rsidR="00235C4A">
          <w:rPr>
            <w:noProof/>
            <w:webHidden/>
          </w:rPr>
          <w:t>241</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6" w:history="1">
        <w:r w:rsidR="004B2E78" w:rsidRPr="00C22046">
          <w:rPr>
            <w:rStyle w:val="Hipervnculo"/>
            <w:noProof/>
          </w:rPr>
          <w:t>Figure 6.20. Income left after care cost of institutional care recipients varies greatly</w:t>
        </w:r>
        <w:r w:rsidR="00E93074">
          <w:rPr>
            <w:rStyle w:val="Hipervnculo"/>
            <w:noProof/>
          </w:rPr>
          <w:br/>
        </w:r>
        <w:r w:rsidR="004B2E78" w:rsidRPr="00C22046">
          <w:rPr>
            <w:rStyle w:val="Hipervnculo"/>
            <w:noProof/>
          </w:rPr>
          <w:t>among countries</w:t>
        </w:r>
        <w:r w:rsidR="004B2E78">
          <w:rPr>
            <w:noProof/>
            <w:webHidden/>
          </w:rPr>
          <w:tab/>
        </w:r>
        <w:r w:rsidR="004B2E78">
          <w:rPr>
            <w:noProof/>
            <w:webHidden/>
          </w:rPr>
          <w:fldChar w:fldCharType="begin"/>
        </w:r>
        <w:r w:rsidR="004B2E78">
          <w:rPr>
            <w:noProof/>
            <w:webHidden/>
          </w:rPr>
          <w:instrText xml:space="preserve"> PAGEREF _Toc493088756 \h </w:instrText>
        </w:r>
        <w:r w:rsidR="004B2E78">
          <w:rPr>
            <w:noProof/>
            <w:webHidden/>
          </w:rPr>
        </w:r>
        <w:r w:rsidR="004B2E78">
          <w:rPr>
            <w:noProof/>
            <w:webHidden/>
          </w:rPr>
          <w:fldChar w:fldCharType="separate"/>
        </w:r>
        <w:r w:rsidR="00235C4A">
          <w:rPr>
            <w:noProof/>
            <w:webHidden/>
          </w:rPr>
          <w:t>244</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7" w:history="1">
        <w:r w:rsidR="004B2E78" w:rsidRPr="00C22046">
          <w:rPr>
            <w:rStyle w:val="Hipervnculo"/>
            <w:noProof/>
          </w:rPr>
          <w:t>Figure 6.21. The majority of over-50s providing informal daily care are women</w:t>
        </w:r>
        <w:r w:rsidR="004B2E78">
          <w:rPr>
            <w:noProof/>
            <w:webHidden/>
          </w:rPr>
          <w:tab/>
        </w:r>
        <w:r w:rsidR="004B2E78">
          <w:rPr>
            <w:noProof/>
            <w:webHidden/>
          </w:rPr>
          <w:fldChar w:fldCharType="begin"/>
        </w:r>
        <w:r w:rsidR="004B2E78">
          <w:rPr>
            <w:noProof/>
            <w:webHidden/>
          </w:rPr>
          <w:instrText xml:space="preserve"> PAGEREF _Toc493088757 \h </w:instrText>
        </w:r>
        <w:r w:rsidR="004B2E78">
          <w:rPr>
            <w:noProof/>
            <w:webHidden/>
          </w:rPr>
        </w:r>
        <w:r w:rsidR="004B2E78">
          <w:rPr>
            <w:noProof/>
            <w:webHidden/>
          </w:rPr>
          <w:fldChar w:fldCharType="separate"/>
        </w:r>
        <w:r w:rsidR="00235C4A">
          <w:rPr>
            <w:noProof/>
            <w:webHidden/>
          </w:rPr>
          <w:t>245</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8" w:history="1">
        <w:r w:rsidR="004B2E78" w:rsidRPr="00C22046">
          <w:rPr>
            <w:rStyle w:val="Hipervnculo"/>
            <w:noProof/>
          </w:rPr>
          <w:t>Figure 6.22. Fewer people give daily informal care in countries with high level</w:t>
        </w:r>
        <w:r w:rsidR="00E93074">
          <w:rPr>
            <w:rStyle w:val="Hipervnculo"/>
            <w:noProof/>
          </w:rPr>
          <w:br/>
        </w:r>
        <w:r w:rsidR="004B2E78" w:rsidRPr="00C22046">
          <w:rPr>
            <w:rStyle w:val="Hipervnculo"/>
            <w:noProof/>
          </w:rPr>
          <w:t>social protection schemes</w:t>
        </w:r>
        <w:r w:rsidR="004B2E78">
          <w:rPr>
            <w:noProof/>
            <w:webHidden/>
          </w:rPr>
          <w:tab/>
        </w:r>
        <w:r w:rsidR="004B2E78">
          <w:rPr>
            <w:noProof/>
            <w:webHidden/>
          </w:rPr>
          <w:fldChar w:fldCharType="begin"/>
        </w:r>
        <w:r w:rsidR="004B2E78">
          <w:rPr>
            <w:noProof/>
            <w:webHidden/>
          </w:rPr>
          <w:instrText xml:space="preserve"> PAGEREF _Toc493088758 \h </w:instrText>
        </w:r>
        <w:r w:rsidR="004B2E78">
          <w:rPr>
            <w:noProof/>
            <w:webHidden/>
          </w:rPr>
        </w:r>
        <w:r w:rsidR="004B2E78">
          <w:rPr>
            <w:noProof/>
            <w:webHidden/>
          </w:rPr>
          <w:fldChar w:fldCharType="separate"/>
        </w:r>
        <w:r w:rsidR="00235C4A">
          <w:rPr>
            <w:noProof/>
            <w:webHidden/>
          </w:rPr>
          <w:t>246</w:t>
        </w:r>
        <w:r w:rsidR="004B2E78">
          <w:rPr>
            <w:noProof/>
            <w:webHidden/>
          </w:rPr>
          <w:fldChar w:fldCharType="end"/>
        </w:r>
      </w:hyperlink>
    </w:p>
    <w:p w:rsidR="004B2E78" w:rsidRDefault="00315185" w:rsidP="00111F7F">
      <w:pPr>
        <w:pStyle w:val="Tabladeilustraciones"/>
        <w:tabs>
          <w:tab w:val="right" w:leader="dot" w:pos="8789"/>
        </w:tabs>
        <w:ind w:left="284" w:right="510" w:hanging="14"/>
        <w:jc w:val="left"/>
        <w:rPr>
          <w:rFonts w:asciiTheme="minorHAnsi" w:eastAsiaTheme="minorEastAsia" w:hAnsiTheme="minorHAnsi" w:cstheme="minorBidi"/>
          <w:noProof/>
          <w:lang w:eastAsia="en-GB"/>
        </w:rPr>
      </w:pPr>
      <w:hyperlink w:anchor="_Toc493088759" w:history="1">
        <w:r w:rsidR="004B2E78" w:rsidRPr="00C22046">
          <w:rPr>
            <w:rStyle w:val="Hipervnculo"/>
            <w:noProof/>
          </w:rPr>
          <w:t>Figure 6.23. Women more often have interrupted careers but these women are less likely</w:t>
        </w:r>
        <w:r w:rsidR="00E93074">
          <w:rPr>
            <w:rStyle w:val="Hipervnculo"/>
            <w:noProof/>
          </w:rPr>
          <w:br/>
        </w:r>
        <w:r w:rsidR="004B2E78" w:rsidRPr="00C22046">
          <w:rPr>
            <w:rStyle w:val="Hipervnculo"/>
            <w:noProof/>
          </w:rPr>
          <w:t>to be providing daily informal care compared to full career women</w:t>
        </w:r>
        <w:r w:rsidR="004B2E78">
          <w:rPr>
            <w:noProof/>
            <w:webHidden/>
          </w:rPr>
          <w:tab/>
        </w:r>
        <w:r w:rsidR="004B2E78">
          <w:rPr>
            <w:noProof/>
            <w:webHidden/>
          </w:rPr>
          <w:fldChar w:fldCharType="begin"/>
        </w:r>
        <w:r w:rsidR="004B2E78">
          <w:rPr>
            <w:noProof/>
            <w:webHidden/>
          </w:rPr>
          <w:instrText xml:space="preserve"> PAGEREF _Toc493088759 \h </w:instrText>
        </w:r>
        <w:r w:rsidR="004B2E78">
          <w:rPr>
            <w:noProof/>
            <w:webHidden/>
          </w:rPr>
        </w:r>
        <w:r w:rsidR="004B2E78">
          <w:rPr>
            <w:noProof/>
            <w:webHidden/>
          </w:rPr>
          <w:fldChar w:fldCharType="separate"/>
        </w:r>
        <w:r w:rsidR="00235C4A">
          <w:rPr>
            <w:noProof/>
            <w:webHidden/>
          </w:rPr>
          <w:t>248</w:t>
        </w:r>
        <w:r w:rsidR="004B2E78">
          <w:rPr>
            <w:noProof/>
            <w:webHidden/>
          </w:rPr>
          <w:fldChar w:fldCharType="end"/>
        </w:r>
      </w:hyperlink>
    </w:p>
    <w:p w:rsidR="00522B7F" w:rsidRDefault="001903C7" w:rsidP="00E93074">
      <w:pPr>
        <w:pStyle w:val="Textodecuerpo"/>
        <w:tabs>
          <w:tab w:val="left" w:pos="8789"/>
        </w:tabs>
        <w:ind w:left="284" w:right="510" w:hanging="14"/>
        <w:rPr>
          <w:b/>
          <w:lang w:val="en-GB"/>
        </w:rPr>
      </w:pPr>
      <w:r>
        <w:rPr>
          <w:b/>
          <w:lang w:val="en-GB"/>
        </w:rPr>
        <w:fldChar w:fldCharType="end"/>
      </w:r>
    </w:p>
    <w:p w:rsidR="00522B7F" w:rsidRDefault="00522B7F" w:rsidP="00522B7F">
      <w:pPr>
        <w:pStyle w:val="Textodecuerpo"/>
      </w:pPr>
      <w:r>
        <w:br w:type="page"/>
      </w:r>
    </w:p>
    <w:p w:rsidR="001903C7" w:rsidRDefault="001903C7" w:rsidP="00E93074">
      <w:pPr>
        <w:pStyle w:val="Textodecuerpo"/>
        <w:tabs>
          <w:tab w:val="left" w:pos="8789"/>
        </w:tabs>
        <w:ind w:left="284" w:right="510" w:hanging="14"/>
        <w:rPr>
          <w:b/>
          <w:lang w:val="en-GB"/>
        </w:rPr>
      </w:pPr>
      <w:r>
        <w:rPr>
          <w:b/>
          <w:lang w:val="en-GB"/>
        </w:rPr>
        <w:lastRenderedPageBreak/>
        <w:t>Tables</w:t>
      </w:r>
    </w:p>
    <w:p w:rsidR="00711E1A" w:rsidRPr="00D42EDF" w:rsidRDefault="00711E1A" w:rsidP="00D42EDF">
      <w:pPr>
        <w:pStyle w:val="Tabladeilustraciones"/>
        <w:tabs>
          <w:tab w:val="right" w:leader="dot" w:pos="8789"/>
        </w:tabs>
        <w:ind w:left="567" w:hanging="298"/>
        <w:jc w:val="left"/>
        <w:rPr>
          <w:rStyle w:val="Hipervnculo"/>
          <w:noProof/>
          <w:color w:val="auto"/>
          <w:lang w:val="en-US"/>
        </w:rPr>
      </w:pPr>
      <w:r w:rsidRPr="00D42EDF">
        <w:rPr>
          <w:rStyle w:val="Hipervnculo"/>
          <w:noProof/>
          <w:lang w:val="en-US"/>
        </w:rPr>
        <w:fldChar w:fldCharType="begin"/>
      </w:r>
      <w:r w:rsidRPr="00D42EDF">
        <w:rPr>
          <w:rStyle w:val="Hipervnculo"/>
          <w:noProof/>
          <w:lang w:val="en-US"/>
        </w:rPr>
        <w:instrText xml:space="preserve"> TOC \h \z \t "Table Title" \c </w:instrText>
      </w:r>
      <w:r w:rsidRPr="00D42EDF">
        <w:rPr>
          <w:rStyle w:val="Hipervnculo"/>
          <w:noProof/>
          <w:lang w:val="en-US"/>
        </w:rPr>
        <w:fldChar w:fldCharType="separate"/>
      </w:r>
      <w:hyperlink w:anchor="_Toc488844581" w:history="1">
        <w:r w:rsidRPr="00D42EDF">
          <w:rPr>
            <w:rStyle w:val="Hipervnculo"/>
            <w:noProof/>
            <w:color w:val="auto"/>
            <w:lang w:val="en-US"/>
          </w:rPr>
          <w:t>Table 2.1. The impact of bad health on lifetime earnings</w:t>
        </w:r>
        <w:r w:rsidRPr="00D42EDF">
          <w:rPr>
            <w:rStyle w:val="Hipervnculo"/>
            <w:noProof/>
            <w:webHidden/>
            <w:color w:val="auto"/>
            <w:lang w:val="en-US"/>
          </w:rPr>
          <w:tab/>
        </w:r>
        <w:r w:rsidRPr="00D42EDF">
          <w:rPr>
            <w:rStyle w:val="Hipervnculo"/>
            <w:noProof/>
            <w:webHidden/>
            <w:color w:val="auto"/>
            <w:lang w:val="en-US"/>
          </w:rPr>
          <w:fldChar w:fldCharType="begin"/>
        </w:r>
        <w:r w:rsidRPr="00D42EDF">
          <w:rPr>
            <w:rStyle w:val="Hipervnculo"/>
            <w:noProof/>
            <w:webHidden/>
            <w:color w:val="auto"/>
            <w:lang w:val="en-US"/>
          </w:rPr>
          <w:instrText xml:space="preserve"> PAGEREF _Toc488844581 \h </w:instrText>
        </w:r>
        <w:r w:rsidRPr="00D42EDF">
          <w:rPr>
            <w:rStyle w:val="Hipervnculo"/>
            <w:noProof/>
            <w:webHidden/>
            <w:color w:val="auto"/>
            <w:lang w:val="en-US"/>
          </w:rPr>
        </w:r>
        <w:r w:rsidRPr="00D42EDF">
          <w:rPr>
            <w:rStyle w:val="Hipervnculo"/>
            <w:noProof/>
            <w:webHidden/>
            <w:color w:val="auto"/>
            <w:lang w:val="en-US"/>
          </w:rPr>
          <w:fldChar w:fldCharType="separate"/>
        </w:r>
        <w:r w:rsidR="00235C4A">
          <w:rPr>
            <w:rStyle w:val="Hipervnculo"/>
            <w:noProof/>
            <w:webHidden/>
            <w:color w:val="auto"/>
            <w:lang w:val="en-US"/>
          </w:rPr>
          <w:t>83</w:t>
        </w:r>
        <w:r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2" w:history="1">
        <w:r w:rsidR="00711E1A" w:rsidRPr="00D42EDF">
          <w:rPr>
            <w:rStyle w:val="Hipervnculo"/>
            <w:noProof/>
            <w:color w:val="auto"/>
            <w:lang w:val="en-US"/>
          </w:rPr>
          <w:t>Table 2.2. Evidence of disability trends among 50</w:t>
        </w:r>
        <w:r w:rsidR="00D42EDF" w:rsidRPr="00D42EDF">
          <w:rPr>
            <w:rStyle w:val="Hipervnculo"/>
            <w:noProof/>
            <w:color w:val="auto"/>
            <w:lang w:val="en-US"/>
          </w:rPr>
          <w:t>-</w:t>
        </w:r>
        <w:r w:rsidR="00711E1A" w:rsidRPr="00D42EDF">
          <w:rPr>
            <w:rStyle w:val="Hipervnculo"/>
            <w:noProof/>
            <w:color w:val="auto"/>
            <w:lang w:val="en-US"/>
          </w:rPr>
          <w:t>64 year-olds and the over</w:t>
        </w:r>
        <w:r w:rsidR="00D42EDF" w:rsidRPr="00D42EDF">
          <w:rPr>
            <w:rStyle w:val="Hipervnculo"/>
            <w:noProof/>
            <w:color w:val="auto"/>
            <w:lang w:val="en-US"/>
          </w:rPr>
          <w:t>-</w:t>
        </w:r>
        <w:r w:rsidR="00711E1A" w:rsidRPr="00D42EDF">
          <w:rPr>
            <w:rStyle w:val="Hipervnculo"/>
            <w:noProof/>
            <w:color w:val="auto"/>
            <w:lang w:val="en-US"/>
          </w:rPr>
          <w:t>64s,</w:t>
        </w:r>
        <w:r w:rsidR="00711E1A" w:rsidRPr="00D42EDF">
          <w:rPr>
            <w:rStyle w:val="Hipervnculo"/>
            <w:noProof/>
            <w:color w:val="auto"/>
            <w:lang w:val="en-US"/>
          </w:rPr>
          <w:br/>
          <w:t>selected OECD countries</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_Toc488844582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87</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3" w:history="1">
        <w:r w:rsidR="00711E1A" w:rsidRPr="00D42EDF">
          <w:rPr>
            <w:rStyle w:val="Hipervnculo"/>
            <w:noProof/>
            <w:color w:val="auto"/>
            <w:lang w:val="en-US"/>
          </w:rPr>
          <w:t>Table 2.3. Relative risk of disability comparing higher and lower educated groups</w:t>
        </w:r>
        <w:r w:rsidR="00D42EDF">
          <w:rPr>
            <w:rStyle w:val="Hipervnculo"/>
            <w:noProof/>
            <w:color w:val="auto"/>
            <w:lang w:val="en-US"/>
          </w:rPr>
          <w:br/>
          <w:t>b</w:t>
        </w:r>
        <w:r w:rsidR="00711E1A" w:rsidRPr="00D42EDF">
          <w:rPr>
            <w:rStyle w:val="Hipervnculo"/>
            <w:noProof/>
            <w:color w:val="auto"/>
            <w:lang w:val="en-US"/>
          </w:rPr>
          <w:t>y gender</w:t>
        </w:r>
        <w:r w:rsidR="00D42EDF">
          <w:rPr>
            <w:rStyle w:val="Hipervnculo"/>
            <w:noProof/>
            <w:color w:val="auto"/>
            <w:lang w:val="en-US"/>
          </w:rPr>
          <w:t xml:space="preserve"> </w:t>
        </w:r>
        <w:r w:rsidR="00711E1A" w:rsidRPr="00D42EDF">
          <w:rPr>
            <w:rStyle w:val="Hipervnculo"/>
            <w:noProof/>
            <w:color w:val="auto"/>
            <w:lang w:val="en-US"/>
          </w:rPr>
          <w:t>and age in the most recent survey year</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_Toc488844583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90</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4" w:history="1">
        <w:r w:rsidR="00711E1A" w:rsidRPr="00D42EDF">
          <w:rPr>
            <w:rStyle w:val="Hipervnculo"/>
            <w:noProof/>
            <w:color w:val="auto"/>
            <w:lang w:val="en-US"/>
          </w:rPr>
          <w:t>Table 2.A1.1. Health indices (HI) in China (CHARLS), Indonesia (IFLS)</w:t>
        </w:r>
        <w:r w:rsidR="00D42EDF" w:rsidRPr="00D42EDF">
          <w:rPr>
            <w:rStyle w:val="Hipervnculo"/>
            <w:noProof/>
            <w:color w:val="auto"/>
            <w:lang w:val="en-US"/>
          </w:rPr>
          <w:br/>
        </w:r>
        <w:r w:rsidR="00711E1A" w:rsidRPr="00D42EDF">
          <w:rPr>
            <w:rStyle w:val="Hipervnculo"/>
            <w:noProof/>
            <w:color w:val="auto"/>
            <w:lang w:val="en-US"/>
          </w:rPr>
          <w:t>and OECD countries</w:t>
        </w:r>
        <w:r w:rsidR="00D42EDF" w:rsidRPr="00D42EDF">
          <w:rPr>
            <w:rStyle w:val="Hipervnculo"/>
            <w:noProof/>
            <w:color w:val="auto"/>
            <w:lang w:val="en-US"/>
          </w:rPr>
          <w:t xml:space="preserve"> </w:t>
        </w:r>
        <w:r w:rsidR="00711E1A" w:rsidRPr="00D42EDF">
          <w:rPr>
            <w:rStyle w:val="Hipervnculo"/>
            <w:noProof/>
            <w:color w:val="auto"/>
            <w:lang w:val="en-US"/>
          </w:rPr>
          <w:t>(SHARE)</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_Toc488844584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107</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5" w:history="1">
        <w:r w:rsidR="00711E1A" w:rsidRPr="00D42EDF">
          <w:rPr>
            <w:rStyle w:val="Hipervnculo"/>
            <w:noProof/>
            <w:color w:val="auto"/>
            <w:lang w:val="en-US"/>
          </w:rPr>
          <w:t>Table 2.A1.2. Health equations in China, Indonesia and OECD countries by gender</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_Toc488844585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108</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6" w:history="1">
        <w:r w:rsidR="00711E1A" w:rsidRPr="00D42EDF">
          <w:rPr>
            <w:rStyle w:val="Hipervnculo"/>
            <w:noProof/>
            <w:color w:val="auto"/>
            <w:lang w:val="en-US"/>
          </w:rPr>
          <w:t>Table 2.A1.3. Health equations in China, Indonesia and OECD countries by level</w:t>
        </w:r>
        <w:r w:rsidR="00D42EDF" w:rsidRPr="00D42EDF">
          <w:rPr>
            <w:rStyle w:val="Hipervnculo"/>
            <w:noProof/>
            <w:color w:val="auto"/>
            <w:lang w:val="en-US"/>
          </w:rPr>
          <w:br/>
        </w:r>
        <w:r w:rsidR="00711E1A" w:rsidRPr="00D42EDF">
          <w:rPr>
            <w:rStyle w:val="Hipervnculo"/>
            <w:noProof/>
            <w:color w:val="auto"/>
            <w:lang w:val="en-US"/>
          </w:rPr>
          <w:t>of education</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_Toc488844586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109</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7" w:history="1">
        <w:r w:rsidR="00711E1A" w:rsidRPr="00D42EDF">
          <w:rPr>
            <w:rStyle w:val="Hipervnculo"/>
            <w:noProof/>
            <w:color w:val="auto"/>
            <w:lang w:val="en-US"/>
          </w:rPr>
          <w:t>Table 2.A1.4. Health equations in China, Indonesia and OECD countries according</w:t>
        </w:r>
        <w:r w:rsidR="00711E1A" w:rsidRPr="00D42EDF">
          <w:rPr>
            <w:rStyle w:val="Hipervnculo"/>
            <w:noProof/>
            <w:color w:val="auto"/>
            <w:lang w:val="en-US"/>
          </w:rPr>
          <w:br/>
          <w:t>to rural or urban dwelling places</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_Toc488844587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110</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8" w:history="1">
        <w:r w:rsidR="00711E1A" w:rsidRPr="00D42EDF">
          <w:rPr>
            <w:rStyle w:val="Hipervnculo"/>
            <w:noProof/>
            <w:lang w:val="en-US"/>
          </w:rPr>
          <w:t>Table 3.1. Poverty risks have shifted from the old to the young in almost all countries</w:t>
        </w:r>
        <w:r w:rsidR="00711E1A" w:rsidRPr="00D42EDF">
          <w:rPr>
            <w:rStyle w:val="Hipervnculo"/>
            <w:noProof/>
            <w:webHidden/>
            <w:lang w:val="en-US"/>
          </w:rPr>
          <w:tab/>
        </w:r>
        <w:r w:rsidR="00711E1A" w:rsidRPr="00D42EDF">
          <w:rPr>
            <w:rStyle w:val="Hipervnculo"/>
            <w:noProof/>
            <w:webHidden/>
            <w:lang w:val="en-US"/>
          </w:rPr>
          <w:fldChar w:fldCharType="begin"/>
        </w:r>
        <w:r w:rsidR="00711E1A" w:rsidRPr="00D42EDF">
          <w:rPr>
            <w:rStyle w:val="Hipervnculo"/>
            <w:noProof/>
            <w:webHidden/>
            <w:lang w:val="en-US"/>
          </w:rPr>
          <w:instrText xml:space="preserve"> PAGEREF _Toc488844588 \h </w:instrText>
        </w:r>
        <w:r w:rsidR="00711E1A" w:rsidRPr="00D42EDF">
          <w:rPr>
            <w:rStyle w:val="Hipervnculo"/>
            <w:noProof/>
            <w:webHidden/>
            <w:lang w:val="en-US"/>
          </w:rPr>
        </w:r>
        <w:r w:rsidR="00711E1A" w:rsidRPr="00D42EDF">
          <w:rPr>
            <w:rStyle w:val="Hipervnculo"/>
            <w:noProof/>
            <w:webHidden/>
            <w:lang w:val="en-US"/>
          </w:rPr>
          <w:fldChar w:fldCharType="separate"/>
        </w:r>
        <w:r w:rsidR="00235C4A">
          <w:rPr>
            <w:rStyle w:val="Hipervnculo"/>
            <w:noProof/>
            <w:webHidden/>
            <w:lang w:val="en-US"/>
          </w:rPr>
          <w:t>120</w:t>
        </w:r>
        <w:r w:rsidR="00711E1A" w:rsidRPr="00D42EDF">
          <w:rPr>
            <w:rStyle w:val="Hipervnculo"/>
            <w:noProof/>
            <w:webHidden/>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89" w:history="1">
        <w:r w:rsidR="00711E1A" w:rsidRPr="00D42EDF">
          <w:rPr>
            <w:rStyle w:val="Hipervnculo"/>
            <w:noProof/>
            <w:color w:val="auto"/>
            <w:lang w:val="en-US"/>
          </w:rPr>
          <w:t>Table 4.1. Remaining years of life, of disability-free life and of life with 3+ chronic</w:t>
        </w:r>
        <w:r w:rsidR="00D42EDF" w:rsidRPr="00D42EDF">
          <w:rPr>
            <w:rStyle w:val="Hipervnculo"/>
            <w:noProof/>
            <w:color w:val="auto"/>
            <w:lang w:val="en-US"/>
          </w:rPr>
          <w:br/>
        </w:r>
        <w:r w:rsidR="00711E1A" w:rsidRPr="00D42EDF">
          <w:rPr>
            <w:rStyle w:val="Hipervnculo"/>
            <w:noProof/>
            <w:color w:val="auto"/>
            <w:lang w:val="en-US"/>
          </w:rPr>
          <w:t>diseases</w:t>
        </w:r>
        <w:r w:rsidR="00D42EDF" w:rsidRPr="00D42EDF">
          <w:rPr>
            <w:rStyle w:val="Hipervnculo"/>
            <w:noProof/>
            <w:color w:val="auto"/>
            <w:lang w:val="en-US"/>
          </w:rPr>
          <w:t xml:space="preserve"> </w:t>
        </w:r>
        <w:r w:rsidR="00711E1A" w:rsidRPr="00D42EDF">
          <w:rPr>
            <w:rStyle w:val="Hipervnculo"/>
            <w:noProof/>
            <w:color w:val="auto"/>
            <w:lang w:val="en-US"/>
          </w:rPr>
          <w:t>after age 50</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_Toc488844589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165</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90" w:history="1">
        <w:r w:rsidR="00711E1A" w:rsidRPr="00D42EDF">
          <w:rPr>
            <w:rStyle w:val="Hipervnculo"/>
            <w:noProof/>
            <w:color w:val="auto"/>
            <w:lang w:val="en-US"/>
          </w:rPr>
          <w:t>Table 4.2. Average duration of working for pay and of claiming pension after age 50</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_Toc488844590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167</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91" w:history="1">
        <w:r w:rsidR="00711E1A" w:rsidRPr="00D42EDF">
          <w:rPr>
            <w:rStyle w:val="Hipervnculo"/>
            <w:noProof/>
            <w:color w:val="auto"/>
            <w:lang w:val="en-US"/>
          </w:rPr>
          <w:t>Table 4.3. Impact of rising retirement age on duration of working life and pension wealth</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_Toc488844591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168</w:t>
        </w:r>
        <w:r w:rsidR="00711E1A" w:rsidRPr="00D42EDF">
          <w:rPr>
            <w:rStyle w:val="Hipervnculo"/>
            <w:noProof/>
            <w:webHidden/>
            <w:color w:val="auto"/>
            <w:lang w:val="en-US"/>
          </w:rPr>
          <w:fldChar w:fldCharType="end"/>
        </w:r>
      </w:hyperlink>
    </w:p>
    <w:p w:rsidR="00711E1A" w:rsidRPr="00D42EDF" w:rsidRDefault="00315185" w:rsidP="00D42EDF">
      <w:pPr>
        <w:pStyle w:val="Tabladeilustraciones"/>
        <w:tabs>
          <w:tab w:val="right" w:leader="dot" w:pos="8789"/>
        </w:tabs>
        <w:ind w:left="567" w:hanging="298"/>
        <w:jc w:val="left"/>
        <w:rPr>
          <w:rStyle w:val="Hipervnculo"/>
          <w:noProof/>
          <w:color w:val="auto"/>
          <w:lang w:val="en-US"/>
        </w:rPr>
      </w:pPr>
      <w:hyperlink w:anchor="_Toc488844592" w:history="1">
        <w:r w:rsidR="00711E1A" w:rsidRPr="00D42EDF">
          <w:rPr>
            <w:rStyle w:val="Hipervnculo"/>
            <w:noProof/>
            <w:color w:val="auto"/>
            <w:lang w:val="en-US"/>
          </w:rPr>
          <w:t>Table 4.A1.1. Calculating multi-dimensional living standards by cohort</w:t>
        </w:r>
        <w:r w:rsidR="00711E1A" w:rsidRPr="00D42EDF">
          <w:rPr>
            <w:rStyle w:val="Hipervnculo"/>
            <w:noProof/>
            <w:webHidden/>
            <w:color w:val="auto"/>
            <w:lang w:val="en-US"/>
          </w:rPr>
          <w:tab/>
        </w:r>
        <w:r w:rsidR="00711E1A" w:rsidRPr="00D42EDF">
          <w:rPr>
            <w:rStyle w:val="Hipervnculo"/>
            <w:noProof/>
            <w:webHidden/>
            <w:color w:val="auto"/>
            <w:lang w:val="en-US"/>
          </w:rPr>
          <w:fldChar w:fldCharType="begin"/>
        </w:r>
        <w:r w:rsidR="00711E1A" w:rsidRPr="00D42EDF">
          <w:rPr>
            <w:rStyle w:val="Hipervnculo"/>
            <w:noProof/>
            <w:webHidden/>
            <w:color w:val="auto"/>
            <w:lang w:val="en-US"/>
          </w:rPr>
          <w:instrText xml:space="preserve"> PAGEREF _Toc488844592 \h </w:instrText>
        </w:r>
        <w:r w:rsidR="00711E1A" w:rsidRPr="00D42EDF">
          <w:rPr>
            <w:rStyle w:val="Hipervnculo"/>
            <w:noProof/>
            <w:webHidden/>
            <w:color w:val="auto"/>
            <w:lang w:val="en-US"/>
          </w:rPr>
        </w:r>
        <w:r w:rsidR="00711E1A" w:rsidRPr="00D42EDF">
          <w:rPr>
            <w:rStyle w:val="Hipervnculo"/>
            <w:noProof/>
            <w:webHidden/>
            <w:color w:val="auto"/>
            <w:lang w:val="en-US"/>
          </w:rPr>
          <w:fldChar w:fldCharType="separate"/>
        </w:r>
        <w:r w:rsidR="00235C4A">
          <w:rPr>
            <w:rStyle w:val="Hipervnculo"/>
            <w:noProof/>
            <w:webHidden/>
            <w:color w:val="auto"/>
            <w:lang w:val="en-US"/>
          </w:rPr>
          <w:t>176</w:t>
        </w:r>
        <w:r w:rsidR="00711E1A" w:rsidRPr="00D42EDF">
          <w:rPr>
            <w:rStyle w:val="Hipervnculo"/>
            <w:noProof/>
            <w:webHidden/>
            <w:color w:val="auto"/>
            <w:lang w:val="en-US"/>
          </w:rPr>
          <w:fldChar w:fldCharType="end"/>
        </w:r>
      </w:hyperlink>
    </w:p>
    <w:p w:rsidR="001903C7" w:rsidRPr="00D42EDF" w:rsidRDefault="00711E1A" w:rsidP="00D42EDF">
      <w:pPr>
        <w:pStyle w:val="Tabladeilustraciones"/>
        <w:tabs>
          <w:tab w:val="right" w:leader="dot" w:pos="8789"/>
        </w:tabs>
        <w:ind w:left="567" w:hanging="298"/>
        <w:jc w:val="left"/>
        <w:rPr>
          <w:rStyle w:val="Hipervnculo"/>
          <w:noProof/>
          <w:lang w:val="en-US"/>
        </w:rPr>
      </w:pPr>
      <w:r w:rsidRPr="00D42EDF">
        <w:rPr>
          <w:rStyle w:val="Hipervnculo"/>
          <w:noProof/>
          <w:lang w:val="en-US"/>
        </w:rPr>
        <w:fldChar w:fldCharType="end"/>
      </w:r>
    </w:p>
    <w:p w:rsidR="001766F9" w:rsidRDefault="001766F9" w:rsidP="00711E1A">
      <w:pPr>
        <w:pStyle w:val="Textodecuerpo"/>
        <w:ind w:left="0" w:firstLine="0"/>
        <w:jc w:val="left"/>
        <w:rPr>
          <w:b/>
          <w:lang w:val="en-GB"/>
        </w:rPr>
      </w:pPr>
    </w:p>
    <w:p w:rsidR="001766F9" w:rsidRDefault="001766F9" w:rsidP="00711E1A">
      <w:pPr>
        <w:pStyle w:val="Textodecuerpo"/>
        <w:ind w:left="0" w:firstLine="0"/>
        <w:jc w:val="left"/>
        <w:rPr>
          <w:b/>
          <w:lang w:val="en-GB"/>
        </w:rPr>
      </w:pPr>
    </w:p>
    <w:p w:rsidR="001766F9" w:rsidRDefault="001766F9" w:rsidP="00711E1A">
      <w:pPr>
        <w:pStyle w:val="Textodecuerpo"/>
        <w:ind w:left="0" w:firstLine="0"/>
        <w:jc w:val="left"/>
        <w:rPr>
          <w:b/>
          <w:lang w:val="en-GB"/>
        </w:rPr>
      </w:pPr>
    </w:p>
    <w:p w:rsidR="001766F9" w:rsidRDefault="001766F9" w:rsidP="00711E1A">
      <w:pPr>
        <w:pStyle w:val="Textodecuerpo"/>
        <w:ind w:left="0" w:firstLine="0"/>
        <w:jc w:val="left"/>
        <w:rPr>
          <w:b/>
          <w:lang w:val="en-GB"/>
        </w:rPr>
      </w:pPr>
    </w:p>
    <w:p w:rsidR="001766F9" w:rsidRPr="001903C7" w:rsidRDefault="00315185" w:rsidP="001766F9">
      <w:pPr>
        <w:pStyle w:val="Textodecuerpo"/>
        <w:ind w:left="0" w:firstLine="0"/>
        <w:jc w:val="center"/>
        <w:rPr>
          <w:b/>
          <w:lang w:val="en-GB"/>
        </w:rPr>
      </w:pPr>
      <w:r>
        <w:rPr>
          <w:b/>
          <w:noProof/>
          <w:lang w:val="es-ES" w:eastAsia="es-ES"/>
        </w:rPr>
        <w:drawing>
          <wp:inline distT="0" distB="0" distL="0" distR="0">
            <wp:extent cx="4338320" cy="2905760"/>
            <wp:effectExtent l="0" t="0" r="5080" b="0"/>
            <wp:docPr id="28" name="Imagen 1" descr="StatLink%20box-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Link%20box-Englis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8320" cy="2905760"/>
                    </a:xfrm>
                    <a:prstGeom prst="rect">
                      <a:avLst/>
                    </a:prstGeom>
                    <a:noFill/>
                    <a:ln>
                      <a:noFill/>
                    </a:ln>
                  </pic:spPr>
                </pic:pic>
              </a:graphicData>
            </a:graphic>
          </wp:inline>
        </w:drawing>
      </w:r>
    </w:p>
    <w:p w:rsidR="000D5794" w:rsidRDefault="000D5794" w:rsidP="00944562">
      <w:pPr>
        <w:pStyle w:val="Ttulo1"/>
        <w:jc w:val="left"/>
        <w:sectPr w:rsidR="000D5794" w:rsidSect="000D5794">
          <w:headerReference w:type="even" r:id="rId23"/>
          <w:headerReference w:type="default" r:id="rId24"/>
          <w:endnotePr>
            <w:numFmt w:val="decimal"/>
          </w:endnotePr>
          <w:type w:val="oddPage"/>
          <w:pgSz w:w="11907" w:h="16840" w:code="9"/>
          <w:pgMar w:top="2098" w:right="1304" w:bottom="1928" w:left="1304" w:header="1531" w:footer="1474" w:gutter="0"/>
          <w:cols w:space="720"/>
          <w:docGrid w:linePitch="299"/>
        </w:sectPr>
      </w:pPr>
      <w:r>
        <w:fldChar w:fldCharType="begin"/>
      </w:r>
      <w:r>
        <w:instrText xml:space="preserve"> MACROBUTTON NUMBERING </w:instrText>
      </w:r>
      <w:bookmarkStart w:id="1" w:name="_Toc488843953"/>
      <w:bookmarkStart w:id="2" w:name="_Toc488844076"/>
      <w:bookmarkStart w:id="3" w:name="_Toc489870271"/>
      <w:bookmarkStart w:id="4" w:name="_Toc491856758"/>
      <w:r>
        <w:fldChar w:fldCharType="end"/>
      </w:r>
      <w:bookmarkEnd w:id="1"/>
      <w:bookmarkEnd w:id="2"/>
      <w:bookmarkEnd w:id="3"/>
      <w:bookmarkEnd w:id="4"/>
    </w:p>
    <w:p w:rsidR="00D226A2" w:rsidRDefault="00D226A2" w:rsidP="00993C1C">
      <w:pPr>
        <w:pStyle w:val="Ttulo1"/>
        <w:spacing w:before="1080" w:after="480"/>
        <w:rPr>
          <w:color w:val="4F81BD"/>
        </w:rPr>
        <w:sectPr w:rsidR="00D226A2" w:rsidSect="00993C1C">
          <w:headerReference w:type="even" r:id="rId25"/>
          <w:footerReference w:type="even" r:id="rId26"/>
          <w:footerReference w:type="default" r:id="rId27"/>
          <w:endnotePr>
            <w:numFmt w:val="decimal"/>
          </w:endnotePr>
          <w:type w:val="continuous"/>
          <w:pgSz w:w="11907" w:h="16840" w:code="9"/>
          <w:pgMar w:top="2098" w:right="1304" w:bottom="1928" w:left="1304" w:header="1531" w:footer="1474" w:gutter="0"/>
          <w:cols w:num="2" w:space="720"/>
          <w:docGrid w:linePitch="299"/>
        </w:sectPr>
      </w:pPr>
    </w:p>
    <w:p w:rsidR="00D20BC9" w:rsidRPr="00D20BC9" w:rsidRDefault="00D20BC9" w:rsidP="00993C1C">
      <w:pPr>
        <w:pStyle w:val="Ttulo1"/>
        <w:spacing w:before="1080" w:after="480"/>
        <w:rPr>
          <w:color w:val="4F81BD"/>
        </w:rPr>
      </w:pPr>
      <w:bookmarkStart w:id="5" w:name="_Toc491856759"/>
      <w:r w:rsidRPr="00D20BC9">
        <w:rPr>
          <w:color w:val="4F81BD"/>
        </w:rPr>
        <w:lastRenderedPageBreak/>
        <w:t>Acronyms and conventional signs</w:t>
      </w:r>
      <w:bookmarkEnd w:id="5"/>
    </w:p>
    <w:p w:rsidR="00D20BC9" w:rsidRDefault="00D20BC9" w:rsidP="00993C1C">
      <w:pPr>
        <w:pStyle w:val="Textodecuerpo"/>
        <w:spacing w:after="60"/>
        <w:ind w:left="1134"/>
        <w:jc w:val="left"/>
      </w:pPr>
      <w:r>
        <w:t>AAL</w:t>
      </w:r>
      <w:r>
        <w:tab/>
      </w:r>
      <w:r>
        <w:tab/>
      </w:r>
      <w:r>
        <w:tab/>
      </w:r>
      <w:r>
        <w:tab/>
      </w:r>
      <w:r>
        <w:tab/>
        <w:t>Age as leveller</w:t>
      </w:r>
    </w:p>
    <w:p w:rsidR="00D20BC9" w:rsidRPr="00146339" w:rsidRDefault="00D20BC9" w:rsidP="00993C1C">
      <w:pPr>
        <w:pStyle w:val="Textodecuerpo"/>
        <w:spacing w:after="60"/>
        <w:ind w:left="1134"/>
        <w:jc w:val="left"/>
      </w:pPr>
      <w:r w:rsidRPr="00146339">
        <w:t>ADL</w:t>
      </w:r>
      <w:r w:rsidRPr="00146339">
        <w:tab/>
      </w:r>
      <w:r w:rsidRPr="00146339">
        <w:tab/>
      </w:r>
      <w:r w:rsidRPr="00146339">
        <w:tab/>
      </w:r>
      <w:r w:rsidRPr="00146339">
        <w:tab/>
      </w:r>
      <w:r>
        <w:tab/>
      </w:r>
      <w:r w:rsidRPr="00146339">
        <w:t>Activity of daily living</w:t>
      </w:r>
    </w:p>
    <w:p w:rsidR="00D20BC9" w:rsidRDefault="00D20BC9" w:rsidP="00993C1C">
      <w:pPr>
        <w:pStyle w:val="Textodecuerpo"/>
        <w:spacing w:after="60"/>
        <w:ind w:left="1134"/>
        <w:jc w:val="left"/>
      </w:pPr>
      <w:r>
        <w:t>DB</w:t>
      </w:r>
      <w:r>
        <w:tab/>
      </w:r>
      <w:r>
        <w:tab/>
      </w:r>
      <w:r>
        <w:tab/>
      </w:r>
      <w:r>
        <w:tab/>
      </w:r>
      <w:r>
        <w:tab/>
        <w:t>Defined benefit</w:t>
      </w:r>
    </w:p>
    <w:p w:rsidR="00D20BC9" w:rsidRPr="00730FCF" w:rsidRDefault="00D20BC9" w:rsidP="00993C1C">
      <w:pPr>
        <w:pStyle w:val="Textodecuerpo"/>
        <w:spacing w:after="60"/>
        <w:ind w:left="1134"/>
        <w:jc w:val="left"/>
      </w:pPr>
      <w:r w:rsidRPr="00730FCF">
        <w:t>DC</w:t>
      </w:r>
      <w:r w:rsidRPr="00730FCF">
        <w:tab/>
      </w:r>
      <w:r w:rsidRPr="00730FCF">
        <w:tab/>
      </w:r>
      <w:r w:rsidRPr="00730FCF">
        <w:tab/>
      </w:r>
      <w:r w:rsidRPr="00730FCF">
        <w:tab/>
      </w:r>
      <w:r w:rsidRPr="00730FCF">
        <w:tab/>
        <w:t>Defined contribution</w:t>
      </w:r>
    </w:p>
    <w:p w:rsidR="00D20BC9" w:rsidRDefault="00D20BC9" w:rsidP="00993C1C">
      <w:pPr>
        <w:pStyle w:val="Textodecuerpo"/>
        <w:spacing w:after="60"/>
        <w:ind w:left="4320" w:hanging="2846"/>
        <w:jc w:val="left"/>
      </w:pPr>
      <w:r>
        <w:t>EU-SILC</w:t>
      </w:r>
      <w:r>
        <w:tab/>
      </w:r>
      <w:r w:rsidRPr="00166606">
        <w:rPr>
          <w:szCs w:val="16"/>
        </w:rPr>
        <w:t>European Union Survey on Income and Living Conditions</w:t>
      </w:r>
    </w:p>
    <w:p w:rsidR="00D20BC9" w:rsidRDefault="00D20BC9" w:rsidP="00993C1C">
      <w:pPr>
        <w:pStyle w:val="Textodecuerpo"/>
        <w:spacing w:after="60"/>
        <w:ind w:left="1134"/>
        <w:jc w:val="left"/>
      </w:pPr>
      <w:r>
        <w:t>GALI</w:t>
      </w:r>
      <w:r>
        <w:tab/>
      </w:r>
      <w:r>
        <w:tab/>
      </w:r>
      <w:r>
        <w:tab/>
      </w:r>
      <w:r>
        <w:tab/>
      </w:r>
      <w:r>
        <w:tab/>
      </w:r>
      <w:r w:rsidRPr="001F29F4">
        <w:t>Global Activity Limitation Index</w:t>
      </w:r>
    </w:p>
    <w:p w:rsidR="00D20BC9" w:rsidRPr="00FB610C" w:rsidRDefault="00D20BC9" w:rsidP="00993C1C">
      <w:pPr>
        <w:pStyle w:val="Textodecuerpo"/>
        <w:spacing w:after="60"/>
        <w:ind w:left="1134"/>
        <w:jc w:val="left"/>
        <w:rPr>
          <w:lang w:val="en-GB"/>
        </w:rPr>
      </w:pPr>
      <w:r w:rsidRPr="00FB610C">
        <w:rPr>
          <w:lang w:val="en-GB"/>
        </w:rPr>
        <w:t>GP</w:t>
      </w:r>
      <w:r w:rsidRPr="00FB610C">
        <w:rPr>
          <w:lang w:val="en-GB"/>
        </w:rPr>
        <w:tab/>
      </w:r>
      <w:r w:rsidRPr="00FB610C">
        <w:rPr>
          <w:lang w:val="en-GB"/>
        </w:rPr>
        <w:tab/>
      </w:r>
      <w:r w:rsidRPr="00FB610C">
        <w:rPr>
          <w:lang w:val="en-GB"/>
        </w:rPr>
        <w:tab/>
      </w:r>
      <w:r w:rsidRPr="00FB610C">
        <w:rPr>
          <w:lang w:val="en-GB"/>
        </w:rPr>
        <w:tab/>
      </w:r>
      <w:r w:rsidRPr="00FB610C">
        <w:rPr>
          <w:lang w:val="en-GB"/>
        </w:rPr>
        <w:tab/>
        <w:t>General practitioner</w:t>
      </w:r>
    </w:p>
    <w:p w:rsidR="00D20BC9" w:rsidRPr="00FD48F4" w:rsidRDefault="00D20BC9" w:rsidP="00993C1C">
      <w:pPr>
        <w:pStyle w:val="Textodecuerpo"/>
        <w:spacing w:after="60"/>
        <w:ind w:left="1134"/>
        <w:jc w:val="left"/>
      </w:pPr>
      <w:r w:rsidRPr="00FD48F4">
        <w:t>IADL</w:t>
      </w:r>
      <w:r w:rsidRPr="00FD48F4">
        <w:tab/>
      </w:r>
      <w:r w:rsidRPr="00FD48F4">
        <w:tab/>
      </w:r>
      <w:r w:rsidRPr="00FD48F4">
        <w:tab/>
      </w:r>
      <w:r w:rsidRPr="00FD48F4">
        <w:tab/>
      </w:r>
      <w:r>
        <w:tab/>
      </w:r>
      <w:r w:rsidRPr="00FD48F4">
        <w:t>Instrumental activity of daily living</w:t>
      </w:r>
    </w:p>
    <w:p w:rsidR="00D20BC9" w:rsidRDefault="00D20BC9" w:rsidP="00993C1C">
      <w:pPr>
        <w:pStyle w:val="Textodecuerpo"/>
        <w:spacing w:after="60"/>
        <w:ind w:left="4320" w:hanging="2846"/>
        <w:jc w:val="left"/>
      </w:pPr>
      <w:r>
        <w:t>ISCED</w:t>
      </w:r>
      <w:r>
        <w:tab/>
      </w:r>
      <w:r w:rsidRPr="00CE7643">
        <w:t>International Standard Classification for Education</w:t>
      </w:r>
    </w:p>
    <w:p w:rsidR="00D20BC9" w:rsidRPr="00730804" w:rsidRDefault="00D20BC9" w:rsidP="00993C1C">
      <w:pPr>
        <w:pStyle w:val="Textodecuerpo"/>
        <w:spacing w:after="60"/>
        <w:ind w:left="1134"/>
        <w:jc w:val="left"/>
      </w:pPr>
      <w:r w:rsidRPr="00730804">
        <w:t>LIS</w:t>
      </w:r>
      <w:r w:rsidRPr="00730804">
        <w:tab/>
      </w:r>
      <w:r w:rsidRPr="00730804">
        <w:tab/>
      </w:r>
      <w:r w:rsidRPr="00730804">
        <w:tab/>
      </w:r>
      <w:r w:rsidRPr="00730804">
        <w:tab/>
      </w:r>
      <w:r w:rsidRPr="00730804">
        <w:tab/>
        <w:t>Luxembourg Income Study</w:t>
      </w:r>
    </w:p>
    <w:p w:rsidR="00D20BC9" w:rsidRDefault="00D20BC9" w:rsidP="00993C1C">
      <w:pPr>
        <w:pStyle w:val="Textodecuerpo"/>
        <w:spacing w:after="60"/>
        <w:ind w:left="1134"/>
        <w:jc w:val="left"/>
      </w:pPr>
      <w:r>
        <w:t>LTC</w:t>
      </w:r>
      <w:r>
        <w:tab/>
      </w:r>
      <w:r>
        <w:tab/>
      </w:r>
      <w:r>
        <w:tab/>
      </w:r>
      <w:r>
        <w:tab/>
      </w:r>
      <w:r>
        <w:tab/>
        <w:t>Long-term care</w:t>
      </w:r>
    </w:p>
    <w:p w:rsidR="00D20BC9" w:rsidRDefault="00D20BC9" w:rsidP="00993C1C">
      <w:pPr>
        <w:pStyle w:val="Textodecuerpo"/>
        <w:spacing w:after="60"/>
        <w:ind w:left="1134"/>
        <w:jc w:val="left"/>
      </w:pPr>
      <w:r>
        <w:t>MDLS</w:t>
      </w:r>
      <w:r>
        <w:tab/>
      </w:r>
      <w:r>
        <w:tab/>
      </w:r>
      <w:r>
        <w:tab/>
      </w:r>
      <w:r>
        <w:tab/>
      </w:r>
      <w:r w:rsidRPr="00CE7643">
        <w:t xml:space="preserve">Multi-dimensional </w:t>
      </w:r>
      <w:r>
        <w:t>l</w:t>
      </w:r>
      <w:r w:rsidRPr="00CE7643">
        <w:t xml:space="preserve">iving </w:t>
      </w:r>
      <w:r>
        <w:t>s</w:t>
      </w:r>
      <w:r w:rsidRPr="00CE7643">
        <w:t>tandard</w:t>
      </w:r>
    </w:p>
    <w:p w:rsidR="00D20BC9" w:rsidRDefault="00D20BC9" w:rsidP="00993C1C">
      <w:pPr>
        <w:pStyle w:val="Textodecuerpo"/>
        <w:spacing w:after="60"/>
        <w:ind w:left="4320" w:hanging="2846"/>
        <w:jc w:val="left"/>
      </w:pPr>
      <w:r>
        <w:t>NAIRU</w:t>
      </w:r>
      <w:r>
        <w:tab/>
      </w:r>
      <w:r w:rsidRPr="00DF1B8D">
        <w:rPr>
          <w:rFonts w:eastAsiaTheme="minorEastAsia"/>
          <w:spacing w:val="-2"/>
          <w:szCs w:val="18"/>
        </w:rPr>
        <w:t>Non-Accelerating Inflation Rate of Unemployment</w:t>
      </w:r>
    </w:p>
    <w:p w:rsidR="00D20BC9" w:rsidRPr="00CE3588" w:rsidRDefault="00D20BC9" w:rsidP="00993C1C">
      <w:pPr>
        <w:pStyle w:val="Textodecuerpo"/>
        <w:spacing w:after="60"/>
        <w:ind w:left="1134"/>
        <w:jc w:val="left"/>
      </w:pPr>
      <w:r w:rsidRPr="00CE3588">
        <w:t>NDC</w:t>
      </w:r>
      <w:r w:rsidRPr="00CE3588">
        <w:tab/>
      </w:r>
      <w:r w:rsidRPr="00CE3588">
        <w:tab/>
      </w:r>
      <w:r w:rsidRPr="00CE3588">
        <w:tab/>
      </w:r>
      <w:r w:rsidRPr="00CE3588">
        <w:tab/>
      </w:r>
      <w:r>
        <w:tab/>
      </w:r>
      <w:r w:rsidRPr="00CE3588">
        <w:t>Notional defined contribution</w:t>
      </w:r>
    </w:p>
    <w:p w:rsidR="00D20BC9" w:rsidRPr="00730FCF" w:rsidRDefault="00D20BC9" w:rsidP="00993C1C">
      <w:pPr>
        <w:pStyle w:val="Textodecuerpo"/>
        <w:spacing w:after="60"/>
        <w:ind w:left="4320" w:hanging="2846"/>
        <w:jc w:val="left"/>
      </w:pPr>
      <w:r w:rsidRPr="00730FCF">
        <w:t>NEET</w:t>
      </w:r>
      <w:r w:rsidRPr="00730FCF">
        <w:tab/>
      </w:r>
      <w:r w:rsidRPr="00730FCF">
        <w:tab/>
        <w:t>Youth not in education, employment or training</w:t>
      </w:r>
    </w:p>
    <w:p w:rsidR="00D20BC9" w:rsidRPr="00730FCF" w:rsidRDefault="00D20BC9" w:rsidP="00993C1C">
      <w:pPr>
        <w:pStyle w:val="Textodecuerpo"/>
        <w:spacing w:after="60"/>
        <w:ind w:left="1134"/>
        <w:jc w:val="left"/>
      </w:pPr>
      <w:r w:rsidRPr="00730FCF">
        <w:t>PES</w:t>
      </w:r>
      <w:r w:rsidRPr="00730FCF">
        <w:tab/>
      </w:r>
      <w:r w:rsidRPr="00730FCF">
        <w:tab/>
      </w:r>
      <w:r w:rsidRPr="00730FCF">
        <w:tab/>
      </w:r>
      <w:r w:rsidRPr="00730FCF">
        <w:tab/>
      </w:r>
      <w:r w:rsidRPr="00730FCF">
        <w:tab/>
        <w:t>Public employment service</w:t>
      </w:r>
    </w:p>
    <w:p w:rsidR="00D20BC9" w:rsidRDefault="00D20BC9" w:rsidP="00993C1C">
      <w:pPr>
        <w:pStyle w:val="Textodecuerpo"/>
        <w:spacing w:after="60"/>
        <w:ind w:left="1134"/>
        <w:jc w:val="left"/>
      </w:pPr>
      <w:r>
        <w:t>PIAAC</w:t>
      </w:r>
      <w:r>
        <w:tab/>
      </w:r>
      <w:r>
        <w:tab/>
      </w:r>
      <w:r>
        <w:tab/>
      </w:r>
      <w:r>
        <w:tab/>
      </w:r>
      <w:r w:rsidRPr="005D112F">
        <w:rPr>
          <w:lang w:eastAsia="ko-KR"/>
        </w:rPr>
        <w:t>OECD Survey of Adult Skills</w:t>
      </w:r>
    </w:p>
    <w:p w:rsidR="00D20BC9" w:rsidRPr="00730FCF" w:rsidRDefault="00D20BC9" w:rsidP="00993C1C">
      <w:pPr>
        <w:pStyle w:val="Textodecuerpo"/>
        <w:spacing w:after="60"/>
        <w:ind w:left="4320" w:hanging="2846"/>
        <w:jc w:val="left"/>
      </w:pPr>
      <w:r w:rsidRPr="00730FCF">
        <w:t>PISA</w:t>
      </w:r>
      <w:r w:rsidRPr="00730FCF">
        <w:tab/>
      </w:r>
      <w:r w:rsidRPr="00730FCF">
        <w:tab/>
        <w:t>OECD Programme for International Student Assessment</w:t>
      </w:r>
    </w:p>
    <w:p w:rsidR="00D20BC9" w:rsidRDefault="00D20BC9" w:rsidP="00993C1C">
      <w:pPr>
        <w:pStyle w:val="Textodecuerpo"/>
        <w:spacing w:after="60"/>
        <w:ind w:left="1134"/>
        <w:jc w:val="left"/>
      </w:pPr>
      <w:r>
        <w:t>PPP</w:t>
      </w:r>
      <w:r>
        <w:tab/>
      </w:r>
      <w:r>
        <w:tab/>
      </w:r>
      <w:r>
        <w:tab/>
      </w:r>
      <w:r>
        <w:tab/>
      </w:r>
      <w:r>
        <w:tab/>
        <w:t>Purchasing power parity</w:t>
      </w:r>
    </w:p>
    <w:p w:rsidR="00D20BC9" w:rsidRDefault="00D20BC9" w:rsidP="00993C1C">
      <w:pPr>
        <w:pStyle w:val="Textodecuerpo"/>
        <w:spacing w:after="60"/>
        <w:ind w:left="4320" w:hanging="2846"/>
        <w:jc w:val="left"/>
      </w:pPr>
      <w:r>
        <w:t>PRSTE</w:t>
      </w:r>
      <w:r>
        <w:tab/>
        <w:t>P</w:t>
      </w:r>
      <w:r w:rsidRPr="006321F8">
        <w:t>roblem</w:t>
      </w:r>
      <w:r>
        <w:t xml:space="preserve"> </w:t>
      </w:r>
      <w:r w:rsidRPr="006321F8">
        <w:t>solving in a technology-rich environment</w:t>
      </w:r>
    </w:p>
    <w:p w:rsidR="00D20BC9" w:rsidRPr="00730804" w:rsidRDefault="00D20BC9" w:rsidP="00993C1C">
      <w:pPr>
        <w:pStyle w:val="Textodecuerpo"/>
        <w:spacing w:after="60"/>
        <w:ind w:left="1134"/>
        <w:jc w:val="left"/>
      </w:pPr>
      <w:r w:rsidRPr="00730804">
        <w:t>SES</w:t>
      </w:r>
      <w:r w:rsidRPr="00730804">
        <w:tab/>
      </w:r>
      <w:r w:rsidRPr="00730804">
        <w:tab/>
      </w:r>
      <w:r w:rsidRPr="00730804">
        <w:tab/>
      </w:r>
      <w:r w:rsidRPr="00730804">
        <w:tab/>
      </w:r>
      <w:r w:rsidRPr="00730804">
        <w:tab/>
      </w:r>
      <w:r>
        <w:t>Socio-economic status</w:t>
      </w:r>
    </w:p>
    <w:p w:rsidR="00D20BC9" w:rsidRDefault="00D20BC9" w:rsidP="00993C1C">
      <w:pPr>
        <w:pStyle w:val="Textodecuerpo"/>
        <w:spacing w:after="60"/>
        <w:ind w:left="1134"/>
      </w:pPr>
      <w:r w:rsidRPr="00320647">
        <w:t>TL</w:t>
      </w:r>
      <w:r w:rsidRPr="00320647">
        <w:tab/>
      </w:r>
      <w:r w:rsidRPr="00320647">
        <w:tab/>
      </w:r>
      <w:r w:rsidRPr="00320647">
        <w:tab/>
      </w:r>
      <w:r w:rsidRPr="00320647">
        <w:tab/>
      </w:r>
      <w:r w:rsidRPr="00320647">
        <w:tab/>
        <w:t>Territorial level</w:t>
      </w:r>
    </w:p>
    <w:p w:rsidR="00D20BC9" w:rsidRDefault="00D20BC9" w:rsidP="00D20BC9">
      <w:pPr>
        <w:pStyle w:val="Textodecuerpo"/>
        <w:ind w:left="1134"/>
      </w:pPr>
      <w:r>
        <w:t>VET</w:t>
      </w:r>
      <w:r>
        <w:tab/>
      </w:r>
      <w:r>
        <w:tab/>
      </w:r>
      <w:r>
        <w:tab/>
      </w:r>
      <w:r>
        <w:tab/>
      </w:r>
      <w:r>
        <w:tab/>
        <w:t>Vocational education and training</w:t>
      </w:r>
    </w:p>
    <w:p w:rsidR="00D20BC9" w:rsidRDefault="00D20BC9" w:rsidP="00993C1C">
      <w:pPr>
        <w:pStyle w:val="Ttulo2"/>
        <w:spacing w:after="120"/>
      </w:pPr>
      <w:bookmarkStart w:id="6" w:name="_Toc489870273"/>
      <w:bookmarkStart w:id="7" w:name="_Toc491852308"/>
      <w:bookmarkStart w:id="8" w:name="_Toc491856760"/>
      <w:r>
        <w:t>Conventional signs</w:t>
      </w:r>
      <w:bookmarkEnd w:id="6"/>
      <w:bookmarkEnd w:id="7"/>
      <w:bookmarkEnd w:id="8"/>
    </w:p>
    <w:p w:rsidR="00D20BC9" w:rsidRDefault="00D20BC9" w:rsidP="00D20BC9">
      <w:pPr>
        <w:pStyle w:val="Textodecuerpo"/>
      </w:pPr>
      <w:r>
        <w:t>.. Not available</w:t>
      </w:r>
    </w:p>
    <w:p w:rsidR="00D20BC9" w:rsidRDefault="00D20BC9" w:rsidP="00D20BC9">
      <w:pPr>
        <w:pStyle w:val="Textodecuerpo"/>
      </w:pPr>
      <w:r>
        <w:t>In figures, OECD refers to unweighted averages of OECD countries for which data are available.</w:t>
      </w:r>
    </w:p>
    <w:p w:rsidR="00D20BC9" w:rsidRDefault="00D20BC9" w:rsidP="00D20BC9">
      <w:pPr>
        <w:pStyle w:val="Textodecuerpo"/>
      </w:pPr>
      <w:r>
        <w:t>(</w:t>
      </w:r>
      <w:r>
        <w:rPr>
          <w:rFonts w:ascii="Cambria Math" w:hAnsi="Cambria Math" w:cs="Cambria Math"/>
        </w:rPr>
        <w:t>↘</w:t>
      </w:r>
      <w:r>
        <w:t>) in the legend relates to the variable for which countries are ranked from left to right in decreasing order.</w:t>
      </w:r>
    </w:p>
    <w:p w:rsidR="00D20BC9" w:rsidRDefault="00D20BC9" w:rsidP="00D20BC9">
      <w:pPr>
        <w:pStyle w:val="Textodecuerpo"/>
      </w:pPr>
      <w:r>
        <w:t>(</w:t>
      </w:r>
      <w:r>
        <w:rPr>
          <w:rFonts w:ascii="Cambria Math" w:hAnsi="Cambria Math" w:cs="Cambria Math"/>
        </w:rPr>
        <w:t>↗</w:t>
      </w:r>
      <w:r>
        <w:t>) in the legend relates to the variable for which countries are ranked from left to right in increasing order.</w:t>
      </w:r>
    </w:p>
    <w:p w:rsidR="00D226A2" w:rsidRDefault="00D226A2" w:rsidP="00993C1C">
      <w:pPr>
        <w:pStyle w:val="Ttulo2"/>
        <w:sectPr w:rsidR="00D226A2" w:rsidSect="00D226A2">
          <w:headerReference w:type="default" r:id="rId28"/>
          <w:endnotePr>
            <w:numFmt w:val="decimal"/>
          </w:endnotePr>
          <w:type w:val="oddPage"/>
          <w:pgSz w:w="11907" w:h="16840" w:code="9"/>
          <w:pgMar w:top="2098" w:right="1304" w:bottom="1928" w:left="1304" w:header="1531" w:footer="1474" w:gutter="0"/>
          <w:cols w:space="720"/>
          <w:docGrid w:linePitch="299"/>
        </w:sectPr>
      </w:pPr>
    </w:p>
    <w:p w:rsidR="00D20BC9" w:rsidRDefault="00D20BC9" w:rsidP="00993C1C">
      <w:pPr>
        <w:pStyle w:val="Ttulo2"/>
      </w:pPr>
      <w:bookmarkStart w:id="9" w:name="_Toc489870274"/>
      <w:bookmarkStart w:id="10" w:name="_Toc491852309"/>
      <w:bookmarkStart w:id="11" w:name="_Toc491856761"/>
      <w:r>
        <w:lastRenderedPageBreak/>
        <w:t>OECD country ISO codes</w:t>
      </w:r>
      <w:bookmarkEnd w:id="9"/>
      <w:bookmarkEnd w:id="10"/>
      <w:bookmarkEnd w:id="11"/>
    </w:p>
    <w:p w:rsidR="00D226A2" w:rsidRDefault="00D226A2" w:rsidP="00D20BC9">
      <w:pPr>
        <w:sectPr w:rsidR="00D226A2" w:rsidSect="00993C1C">
          <w:headerReference w:type="even" r:id="rId29"/>
          <w:endnotePr>
            <w:numFmt w:val="decimal"/>
          </w:endnotePr>
          <w:type w:val="nextColumn"/>
          <w:pgSz w:w="11907" w:h="16840" w:code="9"/>
          <w:pgMar w:top="2098" w:right="1304" w:bottom="1928" w:left="1304" w:header="1531" w:footer="1474" w:gutter="0"/>
          <w:cols w:space="720"/>
          <w:docGrid w:linePitch="299"/>
        </w:sectPr>
      </w:pPr>
    </w:p>
    <w:p w:rsidR="00D20BC9" w:rsidRPr="003A59C2" w:rsidRDefault="00D20BC9" w:rsidP="00D20BC9">
      <w:r w:rsidRPr="003A59C2">
        <w:lastRenderedPageBreak/>
        <w:t>Australia</w:t>
      </w:r>
      <w:r>
        <w:tab/>
      </w:r>
      <w:r>
        <w:tab/>
      </w:r>
      <w:r w:rsidRPr="003A59C2">
        <w:t>AUS</w:t>
      </w:r>
    </w:p>
    <w:p w:rsidR="00D20BC9" w:rsidRPr="004303FB" w:rsidRDefault="00D20BC9" w:rsidP="00D20BC9">
      <w:r w:rsidRPr="004303FB">
        <w:t xml:space="preserve">Austria </w:t>
      </w:r>
      <w:r>
        <w:tab/>
      </w:r>
      <w:r>
        <w:tab/>
      </w:r>
      <w:r>
        <w:tab/>
      </w:r>
      <w:r w:rsidR="00993C1C">
        <w:t>AUT</w:t>
      </w:r>
    </w:p>
    <w:p w:rsidR="00D20BC9" w:rsidRPr="004303FB" w:rsidRDefault="00D20BC9" w:rsidP="00D20BC9">
      <w:r w:rsidRPr="004303FB">
        <w:t xml:space="preserve">Belgium </w:t>
      </w:r>
      <w:r>
        <w:tab/>
      </w:r>
      <w:r>
        <w:tab/>
      </w:r>
      <w:r w:rsidR="00993C1C">
        <w:t>BEL</w:t>
      </w:r>
    </w:p>
    <w:p w:rsidR="00D20BC9" w:rsidRPr="004303FB" w:rsidRDefault="00D20BC9" w:rsidP="00D20BC9">
      <w:r w:rsidRPr="004303FB">
        <w:t xml:space="preserve">Canada </w:t>
      </w:r>
      <w:r>
        <w:tab/>
      </w:r>
      <w:r>
        <w:tab/>
      </w:r>
      <w:r>
        <w:tab/>
      </w:r>
      <w:r w:rsidR="00993C1C">
        <w:t>CAN</w:t>
      </w:r>
    </w:p>
    <w:p w:rsidR="00D20BC9" w:rsidRDefault="00D20BC9" w:rsidP="00D20BC9">
      <w:r>
        <w:t xml:space="preserve">Chile </w:t>
      </w:r>
      <w:r>
        <w:tab/>
      </w:r>
      <w:r>
        <w:tab/>
      </w:r>
      <w:r>
        <w:tab/>
      </w:r>
      <w:r w:rsidR="00993C1C">
        <w:t>CHL</w:t>
      </w:r>
    </w:p>
    <w:p w:rsidR="00D20BC9" w:rsidRPr="008A445F" w:rsidRDefault="00D20BC9" w:rsidP="00D20BC9">
      <w:r w:rsidRPr="008A445F">
        <w:t xml:space="preserve">Czech Republic </w:t>
      </w:r>
      <w:r>
        <w:tab/>
      </w:r>
      <w:r w:rsidR="00993C1C">
        <w:t>CZE</w:t>
      </w:r>
    </w:p>
    <w:p w:rsidR="00D20BC9" w:rsidRPr="00993C1C" w:rsidRDefault="00D20BC9" w:rsidP="00D20BC9">
      <w:r w:rsidRPr="00993C1C">
        <w:t xml:space="preserve">Denmark </w:t>
      </w:r>
      <w:r w:rsidRPr="00993C1C">
        <w:tab/>
      </w:r>
      <w:r w:rsidRPr="00993C1C">
        <w:tab/>
      </w:r>
      <w:r w:rsidR="00993C1C" w:rsidRPr="00993C1C">
        <w:t>DNK</w:t>
      </w:r>
    </w:p>
    <w:p w:rsidR="00D20BC9" w:rsidRPr="001512CF" w:rsidRDefault="00D20BC9" w:rsidP="00D20BC9">
      <w:pPr>
        <w:rPr>
          <w:lang w:val="fr-FR"/>
        </w:rPr>
      </w:pPr>
      <w:r w:rsidRPr="001512CF">
        <w:rPr>
          <w:lang w:val="fr-FR"/>
        </w:rPr>
        <w:t xml:space="preserve">Estonia </w:t>
      </w:r>
      <w:r w:rsidRPr="001512CF">
        <w:rPr>
          <w:lang w:val="fr-FR"/>
        </w:rPr>
        <w:tab/>
      </w:r>
      <w:r w:rsidRPr="001512CF">
        <w:rPr>
          <w:lang w:val="fr-FR"/>
        </w:rPr>
        <w:tab/>
      </w:r>
      <w:r w:rsidRPr="001512CF">
        <w:rPr>
          <w:lang w:val="fr-FR"/>
        </w:rPr>
        <w:tab/>
      </w:r>
      <w:r w:rsidR="00993C1C" w:rsidRPr="001512CF">
        <w:rPr>
          <w:lang w:val="fr-FR"/>
        </w:rPr>
        <w:t>EST</w:t>
      </w:r>
    </w:p>
    <w:p w:rsidR="00D20BC9" w:rsidRPr="00993C1C" w:rsidRDefault="00D20BC9" w:rsidP="00D20BC9">
      <w:pPr>
        <w:rPr>
          <w:lang w:val="fr-FR"/>
        </w:rPr>
      </w:pPr>
      <w:r w:rsidRPr="00993C1C">
        <w:rPr>
          <w:lang w:val="fr-FR"/>
        </w:rPr>
        <w:t xml:space="preserve">Finland </w:t>
      </w:r>
      <w:r w:rsidRPr="00993C1C">
        <w:rPr>
          <w:lang w:val="fr-FR"/>
        </w:rPr>
        <w:tab/>
      </w:r>
      <w:r w:rsidRPr="00993C1C">
        <w:rPr>
          <w:lang w:val="fr-FR"/>
        </w:rPr>
        <w:tab/>
      </w:r>
      <w:r w:rsidR="00993C1C" w:rsidRPr="00993C1C">
        <w:rPr>
          <w:lang w:val="fr-FR"/>
        </w:rPr>
        <w:t>FIN</w:t>
      </w:r>
    </w:p>
    <w:p w:rsidR="00D20BC9" w:rsidRPr="00993C1C" w:rsidRDefault="00D20BC9" w:rsidP="00D20BC9">
      <w:pPr>
        <w:rPr>
          <w:lang w:val="fr-FR"/>
        </w:rPr>
      </w:pPr>
      <w:r w:rsidRPr="00993C1C">
        <w:rPr>
          <w:lang w:val="fr-FR"/>
        </w:rPr>
        <w:t xml:space="preserve">France </w:t>
      </w:r>
      <w:r w:rsidRPr="00993C1C">
        <w:rPr>
          <w:lang w:val="fr-FR"/>
        </w:rPr>
        <w:tab/>
      </w:r>
      <w:r w:rsidRPr="00993C1C">
        <w:rPr>
          <w:lang w:val="fr-FR"/>
        </w:rPr>
        <w:tab/>
      </w:r>
      <w:r w:rsidRPr="00993C1C">
        <w:rPr>
          <w:lang w:val="fr-FR"/>
        </w:rPr>
        <w:tab/>
      </w:r>
      <w:r w:rsidR="00993C1C" w:rsidRPr="00993C1C">
        <w:rPr>
          <w:lang w:val="fr-FR"/>
        </w:rPr>
        <w:t>FRA</w:t>
      </w:r>
    </w:p>
    <w:p w:rsidR="00D20BC9" w:rsidRPr="001512CF" w:rsidRDefault="00D20BC9" w:rsidP="00D20BC9">
      <w:r w:rsidRPr="001512CF">
        <w:t xml:space="preserve">Germany </w:t>
      </w:r>
      <w:r w:rsidRPr="001512CF">
        <w:tab/>
      </w:r>
      <w:r w:rsidRPr="001512CF">
        <w:tab/>
      </w:r>
      <w:r w:rsidR="00993C1C" w:rsidRPr="001512CF">
        <w:t>DEU</w:t>
      </w:r>
    </w:p>
    <w:p w:rsidR="00D20BC9" w:rsidRPr="008A445F" w:rsidRDefault="00D20BC9" w:rsidP="00D20BC9">
      <w:r w:rsidRPr="008A445F">
        <w:t xml:space="preserve">Greece </w:t>
      </w:r>
      <w:r>
        <w:tab/>
      </w:r>
      <w:r>
        <w:tab/>
      </w:r>
      <w:r>
        <w:tab/>
      </w:r>
      <w:r w:rsidR="00993C1C">
        <w:t>GRC</w:t>
      </w:r>
    </w:p>
    <w:p w:rsidR="00D20BC9" w:rsidRPr="008337AE" w:rsidRDefault="00D20BC9" w:rsidP="00D20BC9">
      <w:r w:rsidRPr="008337AE">
        <w:t xml:space="preserve">Hungary </w:t>
      </w:r>
      <w:r w:rsidRPr="008337AE">
        <w:tab/>
      </w:r>
      <w:r w:rsidRPr="008337AE">
        <w:tab/>
      </w:r>
      <w:r w:rsidR="00993C1C" w:rsidRPr="008337AE">
        <w:t>HUN</w:t>
      </w:r>
    </w:p>
    <w:p w:rsidR="00D20BC9" w:rsidRPr="008337AE" w:rsidRDefault="00D20BC9" w:rsidP="00D20BC9">
      <w:r w:rsidRPr="008337AE">
        <w:t xml:space="preserve">Iceland </w:t>
      </w:r>
      <w:r w:rsidRPr="008337AE">
        <w:tab/>
      </w:r>
      <w:r w:rsidRPr="008337AE">
        <w:tab/>
      </w:r>
      <w:r w:rsidRPr="008337AE">
        <w:tab/>
      </w:r>
      <w:r w:rsidR="00993C1C" w:rsidRPr="008337AE">
        <w:t>ISL</w:t>
      </w:r>
    </w:p>
    <w:p w:rsidR="00D20BC9" w:rsidRPr="0066613A" w:rsidRDefault="00D20BC9" w:rsidP="00D20BC9">
      <w:pPr>
        <w:rPr>
          <w:lang w:val="de-DE"/>
        </w:rPr>
      </w:pPr>
      <w:r w:rsidRPr="0066613A">
        <w:rPr>
          <w:lang w:val="de-DE"/>
        </w:rPr>
        <w:t xml:space="preserve">Ireland </w:t>
      </w:r>
      <w:r w:rsidRPr="0066613A">
        <w:rPr>
          <w:lang w:val="de-DE"/>
        </w:rPr>
        <w:tab/>
      </w:r>
      <w:r w:rsidRPr="0066613A">
        <w:rPr>
          <w:lang w:val="de-DE"/>
        </w:rPr>
        <w:tab/>
      </w:r>
      <w:r w:rsidRPr="0066613A">
        <w:rPr>
          <w:lang w:val="de-DE"/>
        </w:rPr>
        <w:tab/>
      </w:r>
      <w:r w:rsidR="00993C1C">
        <w:rPr>
          <w:lang w:val="de-DE"/>
        </w:rPr>
        <w:t>IRL</w:t>
      </w:r>
    </w:p>
    <w:p w:rsidR="00D20BC9" w:rsidRPr="0066613A" w:rsidRDefault="00D20BC9" w:rsidP="00D20BC9">
      <w:pPr>
        <w:rPr>
          <w:lang w:val="de-DE"/>
        </w:rPr>
      </w:pPr>
      <w:r w:rsidRPr="0066613A">
        <w:rPr>
          <w:lang w:val="de-DE"/>
        </w:rPr>
        <w:t xml:space="preserve">Israel </w:t>
      </w:r>
      <w:r w:rsidRPr="0066613A">
        <w:rPr>
          <w:lang w:val="de-DE"/>
        </w:rPr>
        <w:tab/>
      </w:r>
      <w:r w:rsidRPr="0066613A">
        <w:rPr>
          <w:lang w:val="de-DE"/>
        </w:rPr>
        <w:tab/>
      </w:r>
      <w:r w:rsidRPr="0066613A">
        <w:rPr>
          <w:lang w:val="de-DE"/>
        </w:rPr>
        <w:tab/>
      </w:r>
      <w:r w:rsidR="00993C1C">
        <w:rPr>
          <w:lang w:val="de-DE"/>
        </w:rPr>
        <w:t>ISR</w:t>
      </w:r>
    </w:p>
    <w:p w:rsidR="00D20BC9" w:rsidRPr="0066613A" w:rsidRDefault="00D20BC9" w:rsidP="00D20BC9">
      <w:pPr>
        <w:rPr>
          <w:lang w:val="de-DE"/>
        </w:rPr>
      </w:pPr>
      <w:r w:rsidRPr="0066613A">
        <w:rPr>
          <w:lang w:val="de-DE"/>
        </w:rPr>
        <w:t xml:space="preserve">Italy </w:t>
      </w:r>
      <w:r w:rsidRPr="0066613A">
        <w:rPr>
          <w:lang w:val="de-DE"/>
        </w:rPr>
        <w:tab/>
      </w:r>
      <w:r w:rsidRPr="0066613A">
        <w:rPr>
          <w:lang w:val="de-DE"/>
        </w:rPr>
        <w:tab/>
      </w:r>
      <w:r w:rsidRPr="0066613A">
        <w:rPr>
          <w:lang w:val="de-DE"/>
        </w:rPr>
        <w:tab/>
      </w:r>
      <w:r w:rsidR="00993C1C">
        <w:rPr>
          <w:lang w:val="de-DE"/>
        </w:rPr>
        <w:t>ITA</w:t>
      </w:r>
    </w:p>
    <w:p w:rsidR="00D20BC9" w:rsidRPr="0066613A" w:rsidRDefault="00D20BC9" w:rsidP="00D20BC9">
      <w:pPr>
        <w:rPr>
          <w:lang w:val="de-DE"/>
        </w:rPr>
      </w:pPr>
      <w:r w:rsidRPr="0066613A">
        <w:rPr>
          <w:lang w:val="de-DE"/>
        </w:rPr>
        <w:t xml:space="preserve">Japan </w:t>
      </w:r>
      <w:r w:rsidRPr="0066613A">
        <w:rPr>
          <w:lang w:val="de-DE"/>
        </w:rPr>
        <w:tab/>
      </w:r>
      <w:r w:rsidRPr="0066613A">
        <w:rPr>
          <w:lang w:val="de-DE"/>
        </w:rPr>
        <w:tab/>
      </w:r>
      <w:r w:rsidRPr="0066613A">
        <w:rPr>
          <w:lang w:val="de-DE"/>
        </w:rPr>
        <w:tab/>
      </w:r>
      <w:r w:rsidR="00993C1C">
        <w:rPr>
          <w:lang w:val="de-DE"/>
        </w:rPr>
        <w:t>JPN</w:t>
      </w:r>
    </w:p>
    <w:p w:rsidR="00D20BC9" w:rsidRPr="0066613A" w:rsidRDefault="00D20BC9" w:rsidP="00993C1C">
      <w:pPr>
        <w:tabs>
          <w:tab w:val="left" w:pos="1418"/>
        </w:tabs>
        <w:rPr>
          <w:lang w:val="de-DE"/>
        </w:rPr>
      </w:pPr>
      <w:r w:rsidRPr="0066613A">
        <w:rPr>
          <w:lang w:val="de-DE"/>
        </w:rPr>
        <w:lastRenderedPageBreak/>
        <w:t xml:space="preserve">Korea </w:t>
      </w:r>
      <w:r w:rsidRPr="0066613A">
        <w:rPr>
          <w:lang w:val="de-DE"/>
        </w:rPr>
        <w:tab/>
      </w:r>
      <w:r w:rsidRPr="0066613A">
        <w:rPr>
          <w:lang w:val="de-DE"/>
        </w:rPr>
        <w:tab/>
      </w:r>
      <w:r w:rsidRPr="0066613A">
        <w:rPr>
          <w:lang w:val="de-DE"/>
        </w:rPr>
        <w:tab/>
      </w:r>
      <w:r w:rsidR="00993C1C">
        <w:rPr>
          <w:lang w:val="de-DE"/>
        </w:rPr>
        <w:t>KOR</w:t>
      </w:r>
    </w:p>
    <w:p w:rsidR="00D20BC9" w:rsidRPr="00031FBA" w:rsidRDefault="00D20BC9" w:rsidP="00D20BC9">
      <w:pPr>
        <w:rPr>
          <w:lang w:val="es-ES_tradnl"/>
        </w:rPr>
      </w:pPr>
      <w:r w:rsidRPr="00031FBA">
        <w:rPr>
          <w:lang w:val="es-ES_tradnl"/>
        </w:rPr>
        <w:t>Latvia</w:t>
      </w:r>
      <w:r w:rsidRPr="00031FBA">
        <w:rPr>
          <w:lang w:val="es-ES_tradnl"/>
        </w:rPr>
        <w:tab/>
      </w:r>
      <w:r w:rsidRPr="00031FBA">
        <w:rPr>
          <w:lang w:val="es-ES_tradnl"/>
        </w:rPr>
        <w:tab/>
      </w:r>
      <w:r w:rsidRPr="00031FBA">
        <w:rPr>
          <w:lang w:val="es-ES_tradnl"/>
        </w:rPr>
        <w:tab/>
        <w:t>LVA</w:t>
      </w:r>
    </w:p>
    <w:p w:rsidR="00D20BC9" w:rsidRPr="008337AE" w:rsidRDefault="00D20BC9" w:rsidP="00D20BC9">
      <w:pPr>
        <w:rPr>
          <w:lang w:val="es-ES_tradnl"/>
        </w:rPr>
      </w:pPr>
      <w:r w:rsidRPr="008337AE">
        <w:rPr>
          <w:lang w:val="es-ES_tradnl"/>
        </w:rPr>
        <w:t xml:space="preserve">Luxembourg </w:t>
      </w:r>
      <w:r w:rsidRPr="008337AE">
        <w:rPr>
          <w:lang w:val="es-ES_tradnl"/>
        </w:rPr>
        <w:tab/>
      </w:r>
      <w:r w:rsidRPr="008337AE">
        <w:rPr>
          <w:lang w:val="es-ES_tradnl"/>
        </w:rPr>
        <w:tab/>
      </w:r>
      <w:r w:rsidR="00993C1C" w:rsidRPr="008337AE">
        <w:rPr>
          <w:lang w:val="es-ES_tradnl"/>
        </w:rPr>
        <w:t>LUX</w:t>
      </w:r>
    </w:p>
    <w:p w:rsidR="00D20BC9" w:rsidRPr="008337AE" w:rsidRDefault="00D20BC9" w:rsidP="00D20BC9">
      <w:pPr>
        <w:rPr>
          <w:lang w:val="es-ES_tradnl"/>
        </w:rPr>
      </w:pPr>
      <w:r w:rsidRPr="008337AE">
        <w:rPr>
          <w:lang w:val="es-ES_tradnl"/>
        </w:rPr>
        <w:t xml:space="preserve">Mexico </w:t>
      </w:r>
      <w:r w:rsidRPr="008337AE">
        <w:rPr>
          <w:lang w:val="es-ES_tradnl"/>
        </w:rPr>
        <w:tab/>
      </w:r>
      <w:r w:rsidRPr="008337AE">
        <w:rPr>
          <w:lang w:val="es-ES_tradnl"/>
        </w:rPr>
        <w:tab/>
      </w:r>
      <w:r w:rsidR="00993C1C" w:rsidRPr="008337AE">
        <w:rPr>
          <w:lang w:val="es-ES_tradnl"/>
        </w:rPr>
        <w:t>MEX</w:t>
      </w:r>
    </w:p>
    <w:p w:rsidR="00D20BC9" w:rsidRPr="008337AE" w:rsidRDefault="00D20BC9" w:rsidP="00D20BC9">
      <w:pPr>
        <w:rPr>
          <w:lang w:val="es-ES_tradnl"/>
        </w:rPr>
      </w:pPr>
      <w:r w:rsidRPr="008337AE">
        <w:rPr>
          <w:lang w:val="es-ES_tradnl"/>
        </w:rPr>
        <w:t xml:space="preserve">Netherlands </w:t>
      </w:r>
      <w:r w:rsidRPr="008337AE">
        <w:rPr>
          <w:lang w:val="es-ES_tradnl"/>
        </w:rPr>
        <w:tab/>
      </w:r>
      <w:r w:rsidRPr="008337AE">
        <w:rPr>
          <w:lang w:val="es-ES_tradnl"/>
        </w:rPr>
        <w:tab/>
      </w:r>
      <w:r w:rsidR="00993C1C" w:rsidRPr="008337AE">
        <w:rPr>
          <w:lang w:val="es-ES_tradnl"/>
        </w:rPr>
        <w:t>NLD</w:t>
      </w:r>
    </w:p>
    <w:p w:rsidR="00D20BC9" w:rsidRPr="008337AE" w:rsidRDefault="00D20BC9" w:rsidP="00D20BC9">
      <w:r w:rsidRPr="008337AE">
        <w:t xml:space="preserve">New Zealand </w:t>
      </w:r>
      <w:r w:rsidRPr="008337AE">
        <w:tab/>
      </w:r>
      <w:r w:rsidRPr="008337AE">
        <w:tab/>
      </w:r>
      <w:r w:rsidR="00993C1C" w:rsidRPr="008337AE">
        <w:t>NZL</w:t>
      </w:r>
    </w:p>
    <w:p w:rsidR="00D20BC9" w:rsidRPr="008337AE" w:rsidRDefault="00D20BC9" w:rsidP="00D20BC9">
      <w:r w:rsidRPr="008337AE">
        <w:t xml:space="preserve">Norway </w:t>
      </w:r>
      <w:r w:rsidRPr="008337AE">
        <w:tab/>
      </w:r>
      <w:r w:rsidRPr="008337AE">
        <w:tab/>
      </w:r>
      <w:r w:rsidR="00993C1C" w:rsidRPr="008337AE">
        <w:t>NOR</w:t>
      </w:r>
    </w:p>
    <w:p w:rsidR="00D20BC9" w:rsidRPr="008337AE" w:rsidRDefault="00D20BC9" w:rsidP="00D20BC9">
      <w:r w:rsidRPr="008337AE">
        <w:t xml:space="preserve">Poland </w:t>
      </w:r>
      <w:r w:rsidRPr="008337AE">
        <w:tab/>
      </w:r>
      <w:r w:rsidRPr="008337AE">
        <w:tab/>
      </w:r>
      <w:r w:rsidRPr="008337AE">
        <w:tab/>
      </w:r>
      <w:r w:rsidR="00993C1C" w:rsidRPr="008337AE">
        <w:t>POL</w:t>
      </w:r>
    </w:p>
    <w:p w:rsidR="00D20BC9" w:rsidRPr="008337AE" w:rsidRDefault="00D20BC9" w:rsidP="00D20BC9">
      <w:r w:rsidRPr="008337AE">
        <w:t xml:space="preserve">Portugal </w:t>
      </w:r>
      <w:r w:rsidRPr="008337AE">
        <w:tab/>
      </w:r>
      <w:r w:rsidRPr="008337AE">
        <w:tab/>
      </w:r>
      <w:r w:rsidR="00993C1C" w:rsidRPr="008337AE">
        <w:t>PRT</w:t>
      </w:r>
    </w:p>
    <w:p w:rsidR="00D20BC9" w:rsidRPr="008337AE" w:rsidRDefault="00D20BC9" w:rsidP="00D20BC9">
      <w:r w:rsidRPr="008337AE">
        <w:t xml:space="preserve">Slovak Republic </w:t>
      </w:r>
      <w:r w:rsidRPr="008337AE">
        <w:tab/>
      </w:r>
      <w:r w:rsidR="00993C1C" w:rsidRPr="008337AE">
        <w:t>SVK</w:t>
      </w:r>
    </w:p>
    <w:p w:rsidR="00D20BC9" w:rsidRPr="008337AE" w:rsidRDefault="00D20BC9" w:rsidP="00D20BC9">
      <w:r w:rsidRPr="008337AE">
        <w:t xml:space="preserve">Slovenia </w:t>
      </w:r>
      <w:r w:rsidRPr="008337AE">
        <w:tab/>
      </w:r>
      <w:r w:rsidRPr="008337AE">
        <w:tab/>
      </w:r>
      <w:r w:rsidR="00993C1C" w:rsidRPr="008337AE">
        <w:t>SVN</w:t>
      </w:r>
    </w:p>
    <w:p w:rsidR="00D20BC9" w:rsidRPr="008337AE" w:rsidRDefault="00D20BC9" w:rsidP="00D20BC9">
      <w:r w:rsidRPr="008337AE">
        <w:t xml:space="preserve">Spain </w:t>
      </w:r>
      <w:r w:rsidRPr="008337AE">
        <w:tab/>
      </w:r>
      <w:r w:rsidRPr="008337AE">
        <w:tab/>
      </w:r>
      <w:r w:rsidRPr="008337AE">
        <w:tab/>
      </w:r>
      <w:r w:rsidR="00993C1C" w:rsidRPr="008337AE">
        <w:t>ESP</w:t>
      </w:r>
    </w:p>
    <w:p w:rsidR="00D20BC9" w:rsidRPr="008337AE" w:rsidRDefault="00D20BC9" w:rsidP="00D20BC9">
      <w:r w:rsidRPr="008337AE">
        <w:t xml:space="preserve">Sweden </w:t>
      </w:r>
      <w:r w:rsidRPr="008337AE">
        <w:tab/>
      </w:r>
      <w:r w:rsidRPr="008337AE">
        <w:tab/>
      </w:r>
      <w:r w:rsidR="00993C1C" w:rsidRPr="008337AE">
        <w:t>SWE</w:t>
      </w:r>
    </w:p>
    <w:p w:rsidR="00D20BC9" w:rsidRPr="008337AE" w:rsidRDefault="00D20BC9" w:rsidP="00D20BC9">
      <w:r w:rsidRPr="008337AE">
        <w:t xml:space="preserve">Switzerland </w:t>
      </w:r>
      <w:r w:rsidRPr="008337AE">
        <w:tab/>
      </w:r>
      <w:r w:rsidRPr="008337AE">
        <w:tab/>
      </w:r>
      <w:r w:rsidR="00993C1C" w:rsidRPr="008337AE">
        <w:t>CHE</w:t>
      </w:r>
    </w:p>
    <w:p w:rsidR="00D20BC9" w:rsidRPr="008337AE" w:rsidRDefault="00D20BC9" w:rsidP="00D20BC9">
      <w:r w:rsidRPr="008337AE">
        <w:t xml:space="preserve">Turkey </w:t>
      </w:r>
      <w:r w:rsidRPr="008337AE">
        <w:tab/>
      </w:r>
      <w:r w:rsidRPr="008337AE">
        <w:tab/>
      </w:r>
      <w:r w:rsidRPr="008337AE">
        <w:tab/>
      </w:r>
      <w:r w:rsidR="00993C1C" w:rsidRPr="008337AE">
        <w:t>TUR</w:t>
      </w:r>
    </w:p>
    <w:p w:rsidR="00D20BC9" w:rsidRPr="008337AE" w:rsidRDefault="00D20BC9" w:rsidP="00D20BC9">
      <w:r w:rsidRPr="008337AE">
        <w:t xml:space="preserve">United Kingdom </w:t>
      </w:r>
      <w:r w:rsidRPr="008337AE">
        <w:tab/>
      </w:r>
      <w:r w:rsidR="00993C1C" w:rsidRPr="008337AE">
        <w:t>GBR</w:t>
      </w:r>
    </w:p>
    <w:p w:rsidR="00D20BC9" w:rsidRDefault="00D20BC9" w:rsidP="00D20BC9">
      <w:r w:rsidRPr="008337AE">
        <w:t>U</w:t>
      </w:r>
      <w:r w:rsidRPr="004303FB">
        <w:t xml:space="preserve">nited States </w:t>
      </w:r>
      <w:r>
        <w:tab/>
      </w:r>
      <w:r>
        <w:tab/>
      </w:r>
      <w:r w:rsidR="00993C1C">
        <w:t>USA</w:t>
      </w:r>
    </w:p>
    <w:p w:rsidR="00D226A2" w:rsidRDefault="00D226A2" w:rsidP="00993C1C">
      <w:pPr>
        <w:pStyle w:val="Ttulo2"/>
        <w:keepNext w:val="0"/>
        <w:sectPr w:rsidR="00D226A2" w:rsidSect="00D226A2">
          <w:headerReference w:type="even" r:id="rId30"/>
          <w:headerReference w:type="default" r:id="rId31"/>
          <w:endnotePr>
            <w:numFmt w:val="decimal"/>
          </w:endnotePr>
          <w:type w:val="continuous"/>
          <w:pgSz w:w="11907" w:h="16840" w:code="9"/>
          <w:pgMar w:top="2098" w:right="1304" w:bottom="1928" w:left="1304" w:header="1531" w:footer="1474" w:gutter="0"/>
          <w:cols w:num="2" w:space="720"/>
          <w:docGrid w:linePitch="299"/>
        </w:sectPr>
      </w:pPr>
    </w:p>
    <w:p w:rsidR="00886A82" w:rsidRDefault="00886A82" w:rsidP="00993C1C">
      <w:pPr>
        <w:pStyle w:val="Ttulo2"/>
        <w:keepNext w:val="0"/>
      </w:pPr>
    </w:p>
    <w:p w:rsidR="00D20BC9" w:rsidRDefault="00D20BC9" w:rsidP="00993C1C">
      <w:pPr>
        <w:pStyle w:val="Ttulo2"/>
        <w:keepNext w:val="0"/>
      </w:pPr>
      <w:bookmarkStart w:id="12" w:name="_Toc489870275"/>
      <w:bookmarkStart w:id="13" w:name="_Toc491852310"/>
      <w:bookmarkStart w:id="14" w:name="_Toc491856762"/>
      <w:r>
        <w:t>Other major economy and G20 country ISO codes</w:t>
      </w:r>
      <w:bookmarkEnd w:id="12"/>
      <w:bookmarkEnd w:id="13"/>
      <w:bookmarkEnd w:id="14"/>
    </w:p>
    <w:p w:rsidR="00993C1C" w:rsidRPr="00031FBA" w:rsidRDefault="00D20BC9" w:rsidP="00223DD0">
      <w:pPr>
        <w:rPr>
          <w:lang w:val="es-ES_tradnl"/>
        </w:rPr>
      </w:pPr>
      <w:r w:rsidRPr="00031FBA">
        <w:rPr>
          <w:lang w:val="es-ES_tradnl"/>
        </w:rPr>
        <w:t>Argentina</w:t>
      </w:r>
      <w:r w:rsidRPr="00031FBA">
        <w:rPr>
          <w:lang w:val="es-ES_tradnl"/>
        </w:rPr>
        <w:tab/>
      </w:r>
      <w:r w:rsidRPr="00031FBA">
        <w:rPr>
          <w:lang w:val="es-ES_tradnl"/>
        </w:rPr>
        <w:tab/>
        <w:t>ARG</w:t>
      </w:r>
    </w:p>
    <w:p w:rsidR="00D20BC9" w:rsidRPr="00031FBA" w:rsidRDefault="00D20BC9" w:rsidP="00223DD0">
      <w:pPr>
        <w:rPr>
          <w:lang w:val="es-ES_tradnl"/>
        </w:rPr>
      </w:pPr>
      <w:r w:rsidRPr="00031FBA">
        <w:rPr>
          <w:lang w:val="es-ES_tradnl"/>
        </w:rPr>
        <w:t xml:space="preserve">China </w:t>
      </w:r>
      <w:r w:rsidRPr="00031FBA">
        <w:rPr>
          <w:lang w:val="es-ES_tradnl"/>
        </w:rPr>
        <w:tab/>
      </w:r>
      <w:r w:rsidRPr="00031FBA">
        <w:rPr>
          <w:lang w:val="es-ES_tradnl"/>
        </w:rPr>
        <w:tab/>
      </w:r>
      <w:r w:rsidR="00223DD0">
        <w:rPr>
          <w:lang w:val="es-ES_tradnl"/>
        </w:rPr>
        <w:tab/>
      </w:r>
      <w:r w:rsidRPr="00031FBA">
        <w:rPr>
          <w:lang w:val="es-ES_tradnl"/>
        </w:rPr>
        <w:t>CHN</w:t>
      </w:r>
    </w:p>
    <w:p w:rsidR="00993C1C" w:rsidRPr="00031FBA" w:rsidRDefault="00D20BC9" w:rsidP="00223DD0">
      <w:pPr>
        <w:rPr>
          <w:lang w:val="es-ES_tradnl"/>
        </w:rPr>
      </w:pPr>
      <w:r w:rsidRPr="00031FBA">
        <w:rPr>
          <w:lang w:val="es-ES_tradnl"/>
        </w:rPr>
        <w:t>Colombia</w:t>
      </w:r>
      <w:r w:rsidRPr="00031FBA">
        <w:rPr>
          <w:lang w:val="es-ES_tradnl"/>
        </w:rPr>
        <w:tab/>
      </w:r>
      <w:r w:rsidRPr="00031FBA">
        <w:rPr>
          <w:lang w:val="es-ES_tradnl"/>
        </w:rPr>
        <w:tab/>
        <w:t>COL</w:t>
      </w:r>
    </w:p>
    <w:p w:rsidR="00D20BC9" w:rsidRPr="00031FBA" w:rsidRDefault="00D20BC9" w:rsidP="00223DD0">
      <w:pPr>
        <w:rPr>
          <w:lang w:val="es-ES_tradnl"/>
        </w:rPr>
      </w:pPr>
      <w:r w:rsidRPr="00031FBA">
        <w:rPr>
          <w:lang w:val="es-ES_tradnl"/>
        </w:rPr>
        <w:t>Costa Rica</w:t>
      </w:r>
      <w:r w:rsidRPr="00031FBA">
        <w:rPr>
          <w:lang w:val="es-ES_tradnl"/>
        </w:rPr>
        <w:tab/>
      </w:r>
      <w:r w:rsidRPr="00031FBA">
        <w:rPr>
          <w:lang w:val="es-ES_tradnl"/>
        </w:rPr>
        <w:tab/>
        <w:t>CRI</w:t>
      </w:r>
    </w:p>
    <w:p w:rsidR="00993C1C" w:rsidRPr="00031FBA" w:rsidRDefault="00D20BC9" w:rsidP="00223DD0">
      <w:pPr>
        <w:rPr>
          <w:lang w:val="es-ES_tradnl"/>
        </w:rPr>
      </w:pPr>
      <w:r w:rsidRPr="00031FBA">
        <w:rPr>
          <w:lang w:val="es-ES_tradnl"/>
        </w:rPr>
        <w:t>India</w:t>
      </w:r>
      <w:r w:rsidRPr="00031FBA">
        <w:rPr>
          <w:lang w:val="es-ES_tradnl"/>
        </w:rPr>
        <w:tab/>
      </w:r>
      <w:r w:rsidRPr="00031FBA">
        <w:rPr>
          <w:lang w:val="es-ES_tradnl"/>
        </w:rPr>
        <w:tab/>
      </w:r>
      <w:r w:rsidRPr="00031FBA">
        <w:rPr>
          <w:lang w:val="es-ES_tradnl"/>
        </w:rPr>
        <w:tab/>
        <w:t>IND</w:t>
      </w:r>
    </w:p>
    <w:p w:rsidR="00D20BC9" w:rsidRPr="00031FBA" w:rsidRDefault="00D20BC9" w:rsidP="00223DD0">
      <w:pPr>
        <w:rPr>
          <w:lang w:val="es-ES_tradnl"/>
        </w:rPr>
      </w:pPr>
      <w:r w:rsidRPr="00031FBA">
        <w:rPr>
          <w:lang w:val="es-ES_tradnl"/>
        </w:rPr>
        <w:t xml:space="preserve">Indonesia </w:t>
      </w:r>
      <w:r w:rsidRPr="00031FBA">
        <w:rPr>
          <w:lang w:val="es-ES_tradnl"/>
        </w:rPr>
        <w:tab/>
      </w:r>
      <w:r w:rsidRPr="00031FBA">
        <w:rPr>
          <w:lang w:val="es-ES_tradnl"/>
        </w:rPr>
        <w:tab/>
        <w:t>IDN</w:t>
      </w:r>
    </w:p>
    <w:p w:rsidR="00993C1C" w:rsidRDefault="00D20BC9" w:rsidP="00223DD0">
      <w:r>
        <w:t>Lithuania</w:t>
      </w:r>
      <w:r>
        <w:tab/>
      </w:r>
      <w:r>
        <w:tab/>
      </w:r>
      <w:r w:rsidRPr="008909CB">
        <w:t>LTU</w:t>
      </w:r>
    </w:p>
    <w:p w:rsidR="00D20BC9" w:rsidRPr="008909CB" w:rsidRDefault="00D20BC9" w:rsidP="00223DD0">
      <w:r w:rsidRPr="008909CB">
        <w:t xml:space="preserve">Russian Federation </w:t>
      </w:r>
      <w:r w:rsidRPr="008909CB">
        <w:tab/>
        <w:t>RUS</w:t>
      </w:r>
    </w:p>
    <w:p w:rsidR="00D20BC9" w:rsidRPr="008909CB" w:rsidRDefault="00D20BC9" w:rsidP="00223DD0">
      <w:r>
        <w:t>South Africa</w:t>
      </w:r>
      <w:r>
        <w:tab/>
      </w:r>
      <w:r>
        <w:tab/>
      </w:r>
      <w:r w:rsidRPr="008909CB">
        <w:t>ZAF</w:t>
      </w:r>
    </w:p>
    <w:p w:rsidR="000C5F41" w:rsidRDefault="000C5F41" w:rsidP="00223DD0">
      <w:pPr>
        <w:pStyle w:val="Num-DocParagraph"/>
        <w:ind w:left="0"/>
        <w:rPr>
          <w:lang w:val="en-GB"/>
        </w:rPr>
      </w:pPr>
    </w:p>
    <w:p w:rsidR="000C5F41" w:rsidRDefault="000C5F41" w:rsidP="000C5F41">
      <w:pPr>
        <w:pStyle w:val="Num-DocParagraph"/>
        <w:rPr>
          <w:lang w:val="en-GB"/>
        </w:rPr>
      </w:pPr>
    </w:p>
    <w:p w:rsidR="000C5F41" w:rsidRDefault="000C5F41" w:rsidP="000C5F41">
      <w:pPr>
        <w:pStyle w:val="Num-DocParagraph"/>
        <w:rPr>
          <w:lang w:val="en-GB"/>
        </w:rPr>
      </w:pPr>
    </w:p>
    <w:p w:rsidR="000C5F41" w:rsidRPr="000C5F41" w:rsidRDefault="000C5F41" w:rsidP="000C5F41">
      <w:pPr>
        <w:pStyle w:val="Num-DocParagraph"/>
        <w:rPr>
          <w:lang w:val="en-GB"/>
        </w:rPr>
        <w:sectPr w:rsidR="000C5F41" w:rsidRPr="000C5F41" w:rsidSect="00D226A2">
          <w:headerReference w:type="even" r:id="rId32"/>
          <w:headerReference w:type="default" r:id="rId33"/>
          <w:endnotePr>
            <w:numFmt w:val="decimal"/>
          </w:endnotePr>
          <w:type w:val="continuous"/>
          <w:pgSz w:w="11907" w:h="16840" w:code="9"/>
          <w:pgMar w:top="2098" w:right="1304" w:bottom="1928" w:left="1304" w:header="1531" w:footer="1474" w:gutter="0"/>
          <w:cols w:space="720"/>
          <w:docGrid w:linePitch="299"/>
        </w:sectPr>
      </w:pPr>
    </w:p>
    <w:p w:rsidR="000D5794" w:rsidRPr="00410FC2" w:rsidRDefault="000D5794" w:rsidP="0075163D">
      <w:pPr>
        <w:pStyle w:val="ExecutiveSummaryHeading"/>
        <w:rPr>
          <w:color w:val="4F81BD"/>
        </w:rPr>
      </w:pPr>
      <w:r w:rsidRPr="00410FC2">
        <w:rPr>
          <w:color w:val="4F81BD"/>
        </w:rPr>
        <w:lastRenderedPageBreak/>
        <w:t>Executive summary</w:t>
      </w:r>
    </w:p>
    <w:p w:rsidR="00A23ECB" w:rsidRDefault="00A23ECB" w:rsidP="00A23ECB">
      <w:pPr>
        <w:pStyle w:val="Textodecuerpo"/>
      </w:pPr>
      <w:r w:rsidRPr="00991CB3">
        <w:t xml:space="preserve">“Ageing unequally” refers to inequality that develops throughout the life course and materialises in old age. It is often the result of </w:t>
      </w:r>
      <w:r>
        <w:t>specific episodes during people’s lives that tend to cumulate their detrimental effects on health and income at old age</w:t>
      </w:r>
      <w:r w:rsidRPr="00991CB3">
        <w:t xml:space="preserve">. </w:t>
      </w:r>
      <w:r>
        <w:t xml:space="preserve">Ageing unequally is not a new phenomenon, but while the current generation of older people is experiencing </w:t>
      </w:r>
      <w:r w:rsidR="00165E5F">
        <w:t>higher incomes and lower poverty risks than previous ones in most</w:t>
      </w:r>
      <w:r>
        <w:t xml:space="preserve"> countries, the younger generations are likely to face again higher inequality in old age.</w:t>
      </w:r>
      <w:r w:rsidRPr="00991CB3" w:rsidDel="00ED7A2B">
        <w:t xml:space="preserve"> </w:t>
      </w:r>
      <w:r>
        <w:t>They</w:t>
      </w:r>
      <w:r w:rsidRPr="005F1B01">
        <w:t xml:space="preserve"> are expected to live longer, but</w:t>
      </w:r>
      <w:r>
        <w:t xml:space="preserve"> </w:t>
      </w:r>
      <w:r w:rsidRPr="005F1B01">
        <w:t xml:space="preserve">have been experiencing more unstable labour market conditions </w:t>
      </w:r>
      <w:r w:rsidRPr="00991CB3">
        <w:t>and</w:t>
      </w:r>
      <w:r w:rsidRPr="005F1B01">
        <w:t xml:space="preserve"> </w:t>
      </w:r>
      <w:r w:rsidRPr="00991CB3">
        <w:t>widening</w:t>
      </w:r>
      <w:r>
        <w:t xml:space="preserve"> </w:t>
      </w:r>
      <w:r w:rsidRPr="00991CB3">
        <w:t>inequalities</w:t>
      </w:r>
      <w:r w:rsidRPr="005F1B01">
        <w:t xml:space="preserve"> </w:t>
      </w:r>
      <w:r w:rsidRPr="00991CB3">
        <w:t xml:space="preserve">in the distribution of </w:t>
      </w:r>
      <w:r>
        <w:t xml:space="preserve">earnings and household </w:t>
      </w:r>
      <w:r w:rsidRPr="00991CB3">
        <w:t>income</w:t>
      </w:r>
      <w:r>
        <w:t xml:space="preserve">. This </w:t>
      </w:r>
      <w:r w:rsidRPr="005F1B01">
        <w:t>contribut</w:t>
      </w:r>
      <w:r>
        <w:t>es</w:t>
      </w:r>
      <w:r w:rsidRPr="005F1B01">
        <w:t xml:space="preserve"> to widen</w:t>
      </w:r>
      <w:r>
        <w:t>ing</w:t>
      </w:r>
      <w:r w:rsidRPr="005F1B01">
        <w:t xml:space="preserve"> inequality </w:t>
      </w:r>
      <w:r>
        <w:t>in</w:t>
      </w:r>
      <w:r w:rsidRPr="005F1B01">
        <w:t xml:space="preserve"> old age</w:t>
      </w:r>
      <w:r>
        <w:t>, while socio-economic disparities in health status remain large</w:t>
      </w:r>
      <w:r w:rsidRPr="00991CB3">
        <w:t xml:space="preserve">. </w:t>
      </w:r>
    </w:p>
    <w:p w:rsidR="00A23ECB" w:rsidRPr="00A92647" w:rsidRDefault="00A23ECB" w:rsidP="00A23ECB">
      <w:pPr>
        <w:pStyle w:val="Textodecuerpo"/>
      </w:pPr>
      <w:r w:rsidRPr="00AE4E66">
        <w:t xml:space="preserve">Ageing unequally is detrimental to future economic growth, particularly where inequality of opportunity locks in privilege or exclusion, undermining intergenerational social mobility and jeopardising social cohesion. </w:t>
      </w:r>
      <w:r w:rsidRPr="00CB3B7E">
        <w:t>This report examines how population ageing and rising inequalities have been developing and interacting, both within and across generations. It suggests a policy agenda to prevent, mitigate and cope with such inequalities, drawing on good practices in OECD countries and emerging economies.</w:t>
      </w:r>
    </w:p>
    <w:p w:rsidR="00A23ECB" w:rsidRPr="00764BA7" w:rsidRDefault="00A23ECB" w:rsidP="00A23ECB">
      <w:pPr>
        <w:pStyle w:val="Ttulo2"/>
        <w:rPr>
          <w:color w:val="4F81BD"/>
        </w:rPr>
      </w:pPr>
      <w:bookmarkStart w:id="15" w:name="_Toc491852311"/>
      <w:bookmarkStart w:id="16" w:name="_Toc491856763"/>
      <w:r w:rsidRPr="00764BA7">
        <w:rPr>
          <w:color w:val="4F81BD"/>
        </w:rPr>
        <w:t>Key findings</w:t>
      </w:r>
      <w:bookmarkEnd w:id="15"/>
      <w:bookmarkEnd w:id="16"/>
    </w:p>
    <w:p w:rsidR="00A23ECB" w:rsidRPr="00991CB3" w:rsidRDefault="00A23ECB" w:rsidP="00A23ECB">
      <w:pPr>
        <w:pStyle w:val="Ttulo3"/>
      </w:pPr>
      <w:r w:rsidRPr="00991CB3">
        <w:t>Population</w:t>
      </w:r>
      <w:r>
        <w:t xml:space="preserve"> ageing</w:t>
      </w:r>
      <w:r w:rsidRPr="00991CB3">
        <w:t xml:space="preserve"> will </w:t>
      </w:r>
      <w:r>
        <w:t>accelerate</w:t>
      </w:r>
      <w:r w:rsidRPr="00991CB3">
        <w:t xml:space="preserve"> </w:t>
      </w:r>
      <w:r>
        <w:t>while</w:t>
      </w:r>
      <w:r w:rsidRPr="00991CB3">
        <w:t xml:space="preserve"> </w:t>
      </w:r>
      <w:r>
        <w:t xml:space="preserve">health disparities across </w:t>
      </w:r>
      <w:r w:rsidRPr="00991CB3">
        <w:t>socio</w:t>
      </w:r>
      <w:r>
        <w:t>-</w:t>
      </w:r>
      <w:r w:rsidRPr="00991CB3">
        <w:t>economic</w:t>
      </w:r>
      <w:r>
        <w:t xml:space="preserve"> groups</w:t>
      </w:r>
      <w:r w:rsidRPr="00991CB3">
        <w:t xml:space="preserve"> </w:t>
      </w:r>
      <w:r>
        <w:t>are</w:t>
      </w:r>
      <w:r w:rsidRPr="00991CB3">
        <w:t xml:space="preserve"> large</w:t>
      </w:r>
    </w:p>
    <w:p w:rsidR="00A23ECB" w:rsidRPr="00991CB3" w:rsidRDefault="00A23ECB" w:rsidP="00764BA7">
      <w:pPr>
        <w:pStyle w:val="Listaconvietas"/>
        <w:tabs>
          <w:tab w:val="num" w:pos="-612"/>
        </w:tabs>
        <w:ind w:left="1134" w:hanging="425"/>
      </w:pPr>
      <w:r w:rsidRPr="00991CB3">
        <w:t xml:space="preserve">New mortality data at older ages show higher </w:t>
      </w:r>
      <w:r>
        <w:t xml:space="preserve">impact of </w:t>
      </w:r>
      <w:r w:rsidRPr="00991CB3">
        <w:t>socio</w:t>
      </w:r>
      <w:r>
        <w:t>-</w:t>
      </w:r>
      <w:r w:rsidRPr="00991CB3">
        <w:t xml:space="preserve">economic </w:t>
      </w:r>
      <w:r>
        <w:t xml:space="preserve">conditions on </w:t>
      </w:r>
      <w:r w:rsidRPr="00991CB3">
        <w:t xml:space="preserve">inequality in longevity than previously reported. </w:t>
      </w:r>
    </w:p>
    <w:p w:rsidR="00A23ECB" w:rsidRPr="00991CB3" w:rsidRDefault="00A23ECB" w:rsidP="00764BA7">
      <w:pPr>
        <w:pStyle w:val="Listaconvietas"/>
        <w:tabs>
          <w:tab w:val="num" w:pos="-170"/>
        </w:tabs>
        <w:ind w:left="1134" w:hanging="425"/>
      </w:pPr>
      <w:r>
        <w:t>Old-age inequality issues are more acute in emerging economies and a number of them</w:t>
      </w:r>
      <w:r w:rsidRPr="00991CB3">
        <w:t xml:space="preserve"> are facing rapid ageing at a relatively early stage of development</w:t>
      </w:r>
      <w:r>
        <w:t>, have wider h</w:t>
      </w:r>
      <w:r w:rsidRPr="00991CB3">
        <w:t xml:space="preserve">ealth inequalities than OECD </w:t>
      </w:r>
      <w:r>
        <w:t>countries and a less effective social protection</w:t>
      </w:r>
      <w:r w:rsidRPr="00991CB3">
        <w:t>.</w:t>
      </w:r>
    </w:p>
    <w:p w:rsidR="00764BA7" w:rsidRPr="00991CB3" w:rsidRDefault="00764BA7" w:rsidP="00764BA7">
      <w:pPr>
        <w:pStyle w:val="Ttulo4"/>
        <w:rPr>
          <w:b/>
        </w:rPr>
      </w:pPr>
      <w:r w:rsidRPr="00991CB3">
        <w:rPr>
          <w:b/>
        </w:rPr>
        <w:t xml:space="preserve">Increasing </w:t>
      </w:r>
      <w:r>
        <w:rPr>
          <w:b/>
        </w:rPr>
        <w:t xml:space="preserve">income </w:t>
      </w:r>
      <w:r w:rsidRPr="00991CB3">
        <w:rPr>
          <w:b/>
        </w:rPr>
        <w:t>inequality from one generation to the next</w:t>
      </w:r>
    </w:p>
    <w:p w:rsidR="00764BA7" w:rsidRPr="00991CB3" w:rsidRDefault="00764BA7" w:rsidP="00764BA7">
      <w:pPr>
        <w:pStyle w:val="Listaconvietas"/>
        <w:tabs>
          <w:tab w:val="num" w:pos="-68"/>
        </w:tabs>
        <w:ind w:left="1134" w:hanging="425"/>
      </w:pPr>
      <w:r w:rsidRPr="00991CB3">
        <w:t>In most countries, people’s average real incomes are still higher than those of previous generations at the same age. But th</w:t>
      </w:r>
      <w:r>
        <w:t>is is not the case any more for th</w:t>
      </w:r>
      <w:r w:rsidRPr="00991CB3">
        <w:t xml:space="preserve">ose born </w:t>
      </w:r>
      <w:r>
        <w:t xml:space="preserve">from </w:t>
      </w:r>
      <w:r w:rsidRPr="00991CB3">
        <w:t>the 1960s</w:t>
      </w:r>
      <w:r>
        <w:t xml:space="preserve"> compared to the generations born one decade earlier</w:t>
      </w:r>
      <w:r w:rsidRPr="00991CB3">
        <w:t>.</w:t>
      </w:r>
    </w:p>
    <w:p w:rsidR="00764BA7" w:rsidRPr="00991CB3" w:rsidRDefault="00764BA7" w:rsidP="00764BA7">
      <w:pPr>
        <w:pStyle w:val="Listaconvietas"/>
        <w:tabs>
          <w:tab w:val="num" w:pos="-68"/>
        </w:tabs>
        <w:ind w:left="1134" w:hanging="425"/>
      </w:pPr>
      <w:r w:rsidRPr="00991CB3">
        <w:t xml:space="preserve">Income inequality has been rising from one generation to the next at the same age in two-thirds of </w:t>
      </w:r>
      <w:r>
        <w:t xml:space="preserve">the </w:t>
      </w:r>
      <w:r w:rsidRPr="00991CB3">
        <w:t xml:space="preserve">countries, in particular among younger groups for which inequality is nowadays much higher than for the elderly. </w:t>
      </w:r>
    </w:p>
    <w:p w:rsidR="00764BA7" w:rsidRPr="00991CB3" w:rsidRDefault="00764BA7" w:rsidP="00764BA7">
      <w:pPr>
        <w:pStyle w:val="Ttulo3"/>
      </w:pPr>
      <w:r w:rsidRPr="00991CB3">
        <w:lastRenderedPageBreak/>
        <w:t>Compounding inequality across various dimensions</w:t>
      </w:r>
    </w:p>
    <w:p w:rsidR="00764BA7" w:rsidRPr="00991CB3" w:rsidRDefault="00764BA7" w:rsidP="00764BA7">
      <w:pPr>
        <w:pStyle w:val="Listaconvietas"/>
        <w:tabs>
          <w:tab w:val="num" w:pos="34"/>
        </w:tabs>
        <w:ind w:left="1134" w:hanging="425"/>
      </w:pPr>
      <w:r w:rsidRPr="00991CB3">
        <w:t>Health and socio</w:t>
      </w:r>
      <w:r>
        <w:t>-</w:t>
      </w:r>
      <w:r w:rsidRPr="00991CB3">
        <w:t xml:space="preserve">economic inequalities start early. Disadvantages in </w:t>
      </w:r>
      <w:r>
        <w:t xml:space="preserve">health, </w:t>
      </w:r>
      <w:r w:rsidRPr="00991CB3">
        <w:t xml:space="preserve">education, employment and earnings reinforce each other and compound over the life course. </w:t>
      </w:r>
    </w:p>
    <w:p w:rsidR="00764BA7" w:rsidRPr="00991CB3" w:rsidRDefault="00764BA7" w:rsidP="00764BA7">
      <w:pPr>
        <w:pStyle w:val="Listaconvietas"/>
        <w:tabs>
          <w:tab w:val="num" w:pos="-68"/>
        </w:tabs>
        <w:ind w:left="1134" w:hanging="425"/>
      </w:pPr>
      <w:r w:rsidRPr="00991CB3">
        <w:t xml:space="preserve">At all ages, men and women in bad health work less and earn less when they work. Over the whole career, bad health reduces lifetime earnings by 33% and 17% for men with low and high levels of education, respectively, with smaller effects for women. </w:t>
      </w:r>
    </w:p>
    <w:p w:rsidR="00764BA7" w:rsidRDefault="00764BA7" w:rsidP="00764BA7">
      <w:pPr>
        <w:pStyle w:val="Listaconvietas"/>
        <w:tabs>
          <w:tab w:val="num" w:pos="34"/>
        </w:tabs>
        <w:ind w:left="1134" w:hanging="425"/>
      </w:pPr>
      <w:r w:rsidRPr="00991CB3">
        <w:t>Low-educated people are more likely to retire</w:t>
      </w:r>
      <w:r>
        <w:t xml:space="preserve"> </w:t>
      </w:r>
      <w:r w:rsidRPr="00991CB3">
        <w:t>when they reach the retirement age</w:t>
      </w:r>
      <w:r>
        <w:t>, whereas individuals with higher education tend to work longer</w:t>
      </w:r>
      <w:r w:rsidRPr="00991CB3">
        <w:t xml:space="preserve">. </w:t>
      </w:r>
    </w:p>
    <w:p w:rsidR="00764BA7" w:rsidRPr="00E12560" w:rsidRDefault="00764BA7" w:rsidP="00764BA7">
      <w:pPr>
        <w:pStyle w:val="Listaconvietas"/>
        <w:tabs>
          <w:tab w:val="num" w:pos="-68"/>
        </w:tabs>
        <w:ind w:left="1134" w:hanging="425"/>
      </w:pPr>
      <w:r>
        <w:t>P</w:t>
      </w:r>
      <w:r w:rsidRPr="00E12560">
        <w:t xml:space="preserve">oor health is an important factor pushing older workers into early retirement. However, health explains the sharp decline of employment rates from age 55 to a limited extent, which points to the importance of other factors such as the </w:t>
      </w:r>
      <w:r>
        <w:t xml:space="preserve">way </w:t>
      </w:r>
      <w:r w:rsidRPr="00E12560">
        <w:t>professional training</w:t>
      </w:r>
      <w:r>
        <w:t xml:space="preserve"> operates</w:t>
      </w:r>
      <w:r w:rsidRPr="00E12560">
        <w:t xml:space="preserve">, the functioning of labour markets and the design of pension systems. </w:t>
      </w:r>
    </w:p>
    <w:p w:rsidR="00764BA7" w:rsidRPr="00991CB3" w:rsidRDefault="00764BA7" w:rsidP="00764BA7">
      <w:pPr>
        <w:pStyle w:val="Ttulo3"/>
      </w:pPr>
      <w:r>
        <w:t>Old-age income inequality and t</w:t>
      </w:r>
      <w:r w:rsidRPr="00991CB3">
        <w:t>ransmission of inequalities to pensions</w:t>
      </w:r>
      <w:r>
        <w:t xml:space="preserve"> vary a lot across countries</w:t>
      </w:r>
    </w:p>
    <w:p w:rsidR="00764BA7" w:rsidRPr="00991CB3" w:rsidRDefault="00764BA7" w:rsidP="00764BA7">
      <w:pPr>
        <w:pStyle w:val="Listaconvietas"/>
        <w:tabs>
          <w:tab w:val="num" w:pos="-170"/>
        </w:tabs>
        <w:ind w:left="1134" w:hanging="425"/>
      </w:pPr>
      <w:r w:rsidRPr="00991CB3">
        <w:t>On average, about two-thirds of lifetime earnings inequality passes on to pension inequality – from less than 25% for many Anglo-Saxon countries to more than 85% in about one-third of OECD countries.</w:t>
      </w:r>
    </w:p>
    <w:p w:rsidR="00764BA7" w:rsidRPr="00991CB3" w:rsidRDefault="00764BA7" w:rsidP="00764BA7">
      <w:pPr>
        <w:pStyle w:val="Listaconvietas"/>
        <w:tabs>
          <w:tab w:val="num" w:pos="-68"/>
        </w:tabs>
        <w:ind w:left="1134" w:hanging="425"/>
      </w:pPr>
      <w:r>
        <w:t xml:space="preserve">Low earners tend to have a lower life expectancy than high earners and this </w:t>
      </w:r>
      <w:r w:rsidRPr="00991CB3">
        <w:t xml:space="preserve">reduces </w:t>
      </w:r>
      <w:r>
        <w:t xml:space="preserve">further their </w:t>
      </w:r>
      <w:r w:rsidRPr="00991CB3">
        <w:t xml:space="preserve">total pensions by about 13%. Raising the retirement age tends to </w:t>
      </w:r>
      <w:r>
        <w:t>widen inequality in total pensions between low and high earners</w:t>
      </w:r>
      <w:r w:rsidRPr="00991CB3">
        <w:t>, but the impact is small.</w:t>
      </w:r>
    </w:p>
    <w:p w:rsidR="00764BA7" w:rsidRPr="00991CB3" w:rsidRDefault="00764BA7" w:rsidP="00764BA7">
      <w:pPr>
        <w:pStyle w:val="Ttulo3"/>
      </w:pPr>
      <w:r w:rsidRPr="00991CB3">
        <w:t xml:space="preserve">Dependency in old age </w:t>
      </w:r>
      <w:r>
        <w:t xml:space="preserve">is </w:t>
      </w:r>
      <w:r w:rsidRPr="00991CB3">
        <w:t>felt more acutely by low socio</w:t>
      </w:r>
      <w:r>
        <w:t>-</w:t>
      </w:r>
      <w:r w:rsidRPr="00991CB3">
        <w:t>economic groups</w:t>
      </w:r>
    </w:p>
    <w:p w:rsidR="00764BA7" w:rsidRPr="00991CB3" w:rsidRDefault="00764BA7" w:rsidP="00764BA7">
      <w:pPr>
        <w:pStyle w:val="Listaconvietas"/>
        <w:tabs>
          <w:tab w:val="num" w:pos="-68"/>
        </w:tabs>
        <w:ind w:left="1134" w:hanging="425"/>
      </w:pPr>
      <w:r w:rsidRPr="00991CB3">
        <w:t>People with lower socio</w:t>
      </w:r>
      <w:r>
        <w:t>-</w:t>
      </w:r>
      <w:r w:rsidRPr="00991CB3">
        <w:t xml:space="preserve">economic status are more likely to need long-term care, but formal home care services – </w:t>
      </w:r>
      <w:r>
        <w:t xml:space="preserve">even for moderate needs </w:t>
      </w:r>
      <w:r w:rsidRPr="00991CB3">
        <w:t xml:space="preserve">– remain unaffordable </w:t>
      </w:r>
      <w:r>
        <w:t xml:space="preserve">for many of them </w:t>
      </w:r>
      <w:r w:rsidRPr="00991CB3">
        <w:t xml:space="preserve">in </w:t>
      </w:r>
      <w:r>
        <w:t>some</w:t>
      </w:r>
      <w:r w:rsidRPr="00991CB3">
        <w:t xml:space="preserve"> countries</w:t>
      </w:r>
      <w:r>
        <w:t xml:space="preserve">, who have an incentive </w:t>
      </w:r>
      <w:r w:rsidRPr="00991CB3">
        <w:t xml:space="preserve">to go into institutional care. </w:t>
      </w:r>
    </w:p>
    <w:p w:rsidR="00764BA7" w:rsidRPr="00991CB3" w:rsidRDefault="00764BA7" w:rsidP="00764BA7">
      <w:pPr>
        <w:pStyle w:val="Listaconvietas"/>
        <w:tabs>
          <w:tab w:val="num" w:pos="-68"/>
        </w:tabs>
        <w:ind w:left="1134" w:hanging="425"/>
      </w:pPr>
      <w:r w:rsidRPr="00991CB3">
        <w:t>In countries with higher levels of social protection for long-term care services, rates of informal care are lower, and gender inequality in caring is smaller.</w:t>
      </w:r>
    </w:p>
    <w:p w:rsidR="00764BA7" w:rsidRPr="00991CB3" w:rsidRDefault="00764BA7" w:rsidP="00764BA7">
      <w:pPr>
        <w:pStyle w:val="Ttulo3"/>
      </w:pPr>
      <w:r>
        <w:t>L</w:t>
      </w:r>
      <w:r w:rsidRPr="00991CB3">
        <w:t>arge inequalities across genders</w:t>
      </w:r>
      <w:r>
        <w:t xml:space="preserve"> remain</w:t>
      </w:r>
    </w:p>
    <w:p w:rsidR="00764BA7" w:rsidRPr="006C6585" w:rsidRDefault="00764BA7" w:rsidP="00764BA7">
      <w:pPr>
        <w:pStyle w:val="Listaconvietas"/>
        <w:tabs>
          <w:tab w:val="num" w:pos="1134"/>
        </w:tabs>
        <w:ind w:left="1134" w:hanging="425"/>
      </w:pPr>
      <w:r w:rsidRPr="006C6585">
        <w:t>The gender employment gap has fallen, through both a sharp increase in female employment</w:t>
      </w:r>
      <w:r>
        <w:t xml:space="preserve"> rates</w:t>
      </w:r>
      <w:r w:rsidRPr="006C6585">
        <w:t xml:space="preserve"> a</w:t>
      </w:r>
      <w:r>
        <w:t xml:space="preserve">cross </w:t>
      </w:r>
      <w:r w:rsidRPr="006C6585">
        <w:t>generations and a more recent decline in male employment</w:t>
      </w:r>
      <w:r>
        <w:t xml:space="preserve"> in a number of countries</w:t>
      </w:r>
      <w:r w:rsidRPr="006C6585">
        <w:t>.</w:t>
      </w:r>
    </w:p>
    <w:p w:rsidR="00764BA7" w:rsidRPr="00991CB3" w:rsidRDefault="00764BA7" w:rsidP="00764BA7">
      <w:pPr>
        <w:pStyle w:val="Listaconvietas"/>
        <w:tabs>
          <w:tab w:val="num" w:pos="544"/>
          <w:tab w:val="num" w:pos="1134"/>
        </w:tabs>
        <w:ind w:left="1134" w:hanging="425"/>
      </w:pPr>
      <w:r w:rsidRPr="00991CB3">
        <w:t>Annu</w:t>
      </w:r>
      <w:r w:rsidR="00410FC2">
        <w:t>al pension payments to the over-</w:t>
      </w:r>
      <w:r w:rsidRPr="00991CB3">
        <w:t>65s are about 27%</w:t>
      </w:r>
      <w:r w:rsidRPr="00991CB3" w:rsidDel="0074533C">
        <w:t xml:space="preserve"> </w:t>
      </w:r>
      <w:r w:rsidRPr="00991CB3">
        <w:t>lower for women on average</w:t>
      </w:r>
      <w:r>
        <w:t>, and o</w:t>
      </w:r>
      <w:r w:rsidRPr="00991CB3">
        <w:t>ld-age poverty is much higher among women than among men.</w:t>
      </w:r>
    </w:p>
    <w:p w:rsidR="00764BA7" w:rsidRDefault="00764BA7">
      <w:pPr>
        <w:rPr>
          <w:b/>
          <w:bCs/>
          <w:color w:val="4F81BD"/>
          <w:sz w:val="24"/>
          <w:szCs w:val="24"/>
        </w:rPr>
      </w:pPr>
      <w:r>
        <w:rPr>
          <w:color w:val="4F81BD"/>
        </w:rPr>
        <w:br w:type="page"/>
      </w:r>
    </w:p>
    <w:p w:rsidR="00764BA7" w:rsidRPr="00764BA7" w:rsidRDefault="00764BA7" w:rsidP="00764BA7">
      <w:pPr>
        <w:pStyle w:val="Ttulo2"/>
        <w:spacing w:before="0"/>
        <w:rPr>
          <w:color w:val="4F81BD"/>
        </w:rPr>
      </w:pPr>
      <w:bookmarkStart w:id="17" w:name="_Toc491852312"/>
      <w:bookmarkStart w:id="18" w:name="_Toc491856764"/>
      <w:r w:rsidRPr="00764BA7">
        <w:rPr>
          <w:color w:val="4F81BD"/>
        </w:rPr>
        <w:lastRenderedPageBreak/>
        <w:t>Key recommendations</w:t>
      </w:r>
      <w:bookmarkEnd w:id="17"/>
      <w:bookmarkEnd w:id="18"/>
    </w:p>
    <w:p w:rsidR="00764BA7" w:rsidRPr="00012D8C" w:rsidRDefault="00764BA7" w:rsidP="00764BA7">
      <w:pPr>
        <w:pStyle w:val="Ttulo3"/>
      </w:pPr>
      <w:r w:rsidRPr="00012D8C">
        <w:t>Prevent inequality before it cumulates over time</w:t>
      </w:r>
    </w:p>
    <w:p w:rsidR="00764BA7" w:rsidRPr="00012D8C" w:rsidRDefault="00764BA7" w:rsidP="00764BA7">
      <w:pPr>
        <w:pStyle w:val="Listaconvietas"/>
        <w:tabs>
          <w:tab w:val="num" w:pos="1134"/>
        </w:tabs>
        <w:ind w:left="1134" w:hanging="425"/>
      </w:pPr>
      <w:r w:rsidRPr="003C62F3">
        <w:rPr>
          <w:b/>
          <w:i/>
        </w:rPr>
        <w:t>Place early-life interventions at the top of the policy agenda</w:t>
      </w:r>
      <w:r w:rsidRPr="003C62F3">
        <w:t>:</w:t>
      </w:r>
      <w:r w:rsidRPr="00012D8C">
        <w:t xml:space="preserve"> start social protection measures at early ages, especially for children from disadvantaged background; ensure a good quality of childcare services and early childhood education; reduce school failure; improve low performing disadvantaged schools; fight early school leaving; and combat gender stereotyping early at school.</w:t>
      </w:r>
    </w:p>
    <w:p w:rsidR="00764BA7" w:rsidRPr="003C62F3" w:rsidRDefault="00764BA7" w:rsidP="00764BA7">
      <w:pPr>
        <w:pStyle w:val="Listaconvietas"/>
        <w:tabs>
          <w:tab w:val="num" w:pos="1134"/>
        </w:tabs>
        <w:ind w:left="1134" w:hanging="425"/>
      </w:pPr>
      <w:r w:rsidRPr="003C62F3">
        <w:rPr>
          <w:b/>
          <w:i/>
        </w:rPr>
        <w:t>Promote a good start in working life</w:t>
      </w:r>
      <w:r w:rsidRPr="003C62F3">
        <w:t xml:space="preserve">: </w:t>
      </w:r>
      <w:r w:rsidRPr="00012D8C">
        <w:t xml:space="preserve">ensure a smooth school-to-work transition by providing sufficient orientation, especially to youth who cannot draw on social support networks and strengthening vocational education; and, design effective labour market policies to connect youths </w:t>
      </w:r>
      <w:r w:rsidRPr="003C62F3">
        <w:t xml:space="preserve">not in employment, education or training </w:t>
      </w:r>
      <w:r w:rsidRPr="00012D8C">
        <w:t xml:space="preserve">with jobs. </w:t>
      </w:r>
    </w:p>
    <w:p w:rsidR="00764BA7" w:rsidRPr="003C62F3" w:rsidRDefault="00764BA7" w:rsidP="00764BA7">
      <w:pPr>
        <w:pStyle w:val="Listaconvietas"/>
        <w:tabs>
          <w:tab w:val="num" w:pos="1134"/>
        </w:tabs>
        <w:ind w:left="1134" w:hanging="425"/>
      </w:pPr>
      <w:r w:rsidRPr="003C62F3">
        <w:rPr>
          <w:b/>
          <w:i/>
        </w:rPr>
        <w:t>Break the links between socio-economic disadvantages and health status</w:t>
      </w:r>
      <w:r w:rsidRPr="003C62F3">
        <w:t xml:space="preserve">: </w:t>
      </w:r>
      <w:r w:rsidRPr="00012D8C">
        <w:t xml:space="preserve">develop a strategy that addresses the wide range of social determinants of health inequalities; and, expand health spending allocated to prevention targeted at key risk factors and population groups. </w:t>
      </w:r>
    </w:p>
    <w:p w:rsidR="00764BA7" w:rsidRPr="00012D8C" w:rsidRDefault="00764BA7" w:rsidP="00764BA7">
      <w:pPr>
        <w:pStyle w:val="Ttulo3"/>
      </w:pPr>
      <w:r w:rsidRPr="00012D8C">
        <w:t>Mitigate entrenched inequalities</w:t>
      </w:r>
    </w:p>
    <w:p w:rsidR="00764BA7" w:rsidRPr="003C62F3" w:rsidRDefault="00764BA7" w:rsidP="00764BA7">
      <w:pPr>
        <w:pStyle w:val="Listaconvietas"/>
        <w:tabs>
          <w:tab w:val="num" w:pos="1134"/>
        </w:tabs>
        <w:ind w:left="1134" w:hanging="425"/>
      </w:pPr>
      <w:r w:rsidRPr="00012D8C">
        <w:rPr>
          <w:b/>
          <w:i/>
        </w:rPr>
        <w:t>Promote healthy ageing by developing a multisectoral active ageing strategy and through equal access to health care</w:t>
      </w:r>
      <w:r w:rsidRPr="003C62F3">
        <w:t>:</w:t>
      </w:r>
      <w:r w:rsidRPr="00012D8C">
        <w:rPr>
          <w:b/>
          <w:i/>
        </w:rPr>
        <w:t xml:space="preserve"> </w:t>
      </w:r>
      <w:r w:rsidRPr="003C62F3">
        <w:t>remove financial obstacles; better co</w:t>
      </w:r>
      <w:r>
        <w:t>-</w:t>
      </w:r>
      <w:r w:rsidRPr="003C62F3">
        <w:t>ordinate health care across various disciplines towards a patient-centred approach; further develop physician specialisation in geriatric care; and improve health literacy.</w:t>
      </w:r>
    </w:p>
    <w:p w:rsidR="00764BA7" w:rsidRPr="003C62F3" w:rsidRDefault="00764BA7" w:rsidP="00764BA7">
      <w:pPr>
        <w:pStyle w:val="Listaconvietas"/>
        <w:tabs>
          <w:tab w:val="num" w:pos="1134"/>
        </w:tabs>
        <w:ind w:left="1134" w:hanging="425"/>
      </w:pPr>
      <w:r w:rsidRPr="00012D8C">
        <w:rPr>
          <w:b/>
          <w:i/>
        </w:rPr>
        <w:t>Limit the impact of job loss and combat long-term unemployment</w:t>
      </w:r>
      <w:r w:rsidRPr="003C62F3">
        <w:t>:</w:t>
      </w:r>
      <w:r w:rsidRPr="00012D8C">
        <w:rPr>
          <w:b/>
          <w:i/>
        </w:rPr>
        <w:t xml:space="preserve"> </w:t>
      </w:r>
      <w:r w:rsidRPr="003C62F3">
        <w:t>strengthen policies to assist displaced workers; make counselling, skills audits, job-search assistance and retraining ready early on after job losses or even during notice periods.</w:t>
      </w:r>
    </w:p>
    <w:p w:rsidR="00764BA7" w:rsidRPr="003C62F3" w:rsidRDefault="00764BA7" w:rsidP="00764BA7">
      <w:pPr>
        <w:pStyle w:val="Listaconvietas"/>
        <w:tabs>
          <w:tab w:val="num" w:pos="1134"/>
        </w:tabs>
        <w:ind w:left="1134" w:hanging="425"/>
      </w:pPr>
      <w:r w:rsidRPr="00012D8C">
        <w:rPr>
          <w:b/>
          <w:i/>
        </w:rPr>
        <w:t>Provide equal opportunities for workers to upgrade their skills</w:t>
      </w:r>
      <w:r w:rsidRPr="003C62F3">
        <w:t xml:space="preserve">: improve access to lifelong learning, especially for low-skilled and older workers; and better recognise skills acquired throughout working lives. </w:t>
      </w:r>
    </w:p>
    <w:p w:rsidR="00764BA7" w:rsidRPr="003C62F3" w:rsidRDefault="00764BA7" w:rsidP="00764BA7">
      <w:pPr>
        <w:pStyle w:val="Listaconvietas"/>
        <w:tabs>
          <w:tab w:val="num" w:pos="1134"/>
        </w:tabs>
        <w:ind w:left="1134" w:hanging="425"/>
      </w:pPr>
      <w:r w:rsidRPr="00012D8C">
        <w:rPr>
          <w:b/>
          <w:i/>
        </w:rPr>
        <w:t>Enhance job quality for older workers</w:t>
      </w:r>
      <w:r w:rsidRPr="003C62F3">
        <w:t>: improve regulations on working-time and safety at work; promote healthy working conditions; implement well-designed sickness schemes; and improve the role of labour inspection bodies and occupational health care services.</w:t>
      </w:r>
    </w:p>
    <w:p w:rsidR="00764BA7" w:rsidRPr="003C62F3" w:rsidRDefault="00764BA7" w:rsidP="00764BA7">
      <w:pPr>
        <w:pStyle w:val="Listaconvietas"/>
        <w:tabs>
          <w:tab w:val="num" w:pos="1134"/>
        </w:tabs>
        <w:ind w:left="1134" w:hanging="425"/>
      </w:pPr>
      <w:r w:rsidRPr="00012D8C">
        <w:rPr>
          <w:b/>
          <w:i/>
        </w:rPr>
        <w:t>Remove barriers to retain and hire older workers</w:t>
      </w:r>
      <w:r w:rsidRPr="003C62F3">
        <w:t>: ensure a better match between the labour cost and the productivity of older workers; and, eliminate special employment protection and unemployment b</w:t>
      </w:r>
      <w:r>
        <w:t>enefit rules for older workers.</w:t>
      </w:r>
    </w:p>
    <w:p w:rsidR="00764BA7" w:rsidRPr="00012D8C" w:rsidRDefault="00764BA7" w:rsidP="00764BA7">
      <w:pPr>
        <w:pStyle w:val="Ttulo3"/>
      </w:pPr>
      <w:r w:rsidRPr="00012D8C">
        <w:t>Cope with inequality at older ages</w:t>
      </w:r>
    </w:p>
    <w:p w:rsidR="00764BA7" w:rsidRPr="003C62F3" w:rsidRDefault="00764BA7" w:rsidP="00764BA7">
      <w:pPr>
        <w:pStyle w:val="Listaconvietas"/>
        <w:tabs>
          <w:tab w:val="num" w:pos="1134"/>
        </w:tabs>
        <w:ind w:left="1134" w:hanging="425"/>
      </w:pPr>
      <w:r w:rsidRPr="00012D8C">
        <w:rPr>
          <w:b/>
          <w:i/>
        </w:rPr>
        <w:t>Limit the impact of socio</w:t>
      </w:r>
      <w:r>
        <w:rPr>
          <w:b/>
          <w:i/>
        </w:rPr>
        <w:t>-</w:t>
      </w:r>
      <w:r w:rsidRPr="00012D8C">
        <w:rPr>
          <w:b/>
          <w:i/>
        </w:rPr>
        <w:t xml:space="preserve">economic differences in life expectancy on pension benefits. </w:t>
      </w:r>
      <w:r w:rsidRPr="003C62F3">
        <w:t xml:space="preserve">These differences are often ignored but can have a large unintended impact on how pension systems redistribute income between different groups; such inequalities can be addressed through first-tier pensions and redistributive components embedded in benefit and/or contribution rules. </w:t>
      </w:r>
    </w:p>
    <w:p w:rsidR="00764BA7" w:rsidRPr="00012D8C" w:rsidRDefault="00764BA7" w:rsidP="00764BA7">
      <w:pPr>
        <w:pStyle w:val="Listaconvietas"/>
        <w:tabs>
          <w:tab w:val="num" w:pos="1134"/>
        </w:tabs>
        <w:ind w:left="1134" w:hanging="425"/>
        <w:rPr>
          <w:b/>
          <w:i/>
        </w:rPr>
      </w:pPr>
      <w:r w:rsidRPr="00012D8C">
        <w:rPr>
          <w:b/>
          <w:i/>
        </w:rPr>
        <w:lastRenderedPageBreak/>
        <w:t xml:space="preserve">Target adequate levels of retirement income through a combination of old-age safety nets, mandatory pensions, annuities in private schemes and pension credits. </w:t>
      </w:r>
    </w:p>
    <w:p w:rsidR="00764BA7" w:rsidRPr="00012D8C" w:rsidRDefault="00764BA7" w:rsidP="00764BA7">
      <w:pPr>
        <w:pStyle w:val="Listaconvietas"/>
        <w:tabs>
          <w:tab w:val="num" w:pos="1134"/>
        </w:tabs>
        <w:ind w:left="1134" w:hanging="425"/>
        <w:rPr>
          <w:b/>
          <w:i/>
        </w:rPr>
      </w:pPr>
      <w:r w:rsidRPr="00012D8C">
        <w:rPr>
          <w:b/>
          <w:i/>
        </w:rPr>
        <w:t>Increase pension coverage</w:t>
      </w:r>
      <w:r w:rsidRPr="003C62F3">
        <w:t>, especially for the self-employed and those with non-standard jobs, and more generally in emerging economies, including through improved financial literacy.</w:t>
      </w:r>
    </w:p>
    <w:p w:rsidR="00764BA7" w:rsidRPr="00012D8C" w:rsidRDefault="00764BA7" w:rsidP="00764BA7">
      <w:pPr>
        <w:pStyle w:val="Listaconvietas"/>
        <w:tabs>
          <w:tab w:val="num" w:pos="1134"/>
        </w:tabs>
        <w:ind w:left="1134" w:hanging="425"/>
        <w:rPr>
          <w:b/>
          <w:i/>
        </w:rPr>
      </w:pPr>
      <w:r w:rsidRPr="00012D8C">
        <w:rPr>
          <w:b/>
          <w:i/>
        </w:rPr>
        <w:t xml:space="preserve">Design survivors pensions carefully </w:t>
      </w:r>
      <w:r w:rsidRPr="003C62F3">
        <w:t>to protect widow(er)s effectively while limiting inefficient forms of redistribution and work disincentives.</w:t>
      </w:r>
    </w:p>
    <w:p w:rsidR="00764BA7" w:rsidRPr="00012D8C" w:rsidRDefault="00764BA7" w:rsidP="00764BA7">
      <w:pPr>
        <w:pStyle w:val="Listaconvietas"/>
        <w:tabs>
          <w:tab w:val="num" w:pos="1134"/>
        </w:tabs>
        <w:ind w:left="1134" w:hanging="425"/>
        <w:rPr>
          <w:b/>
          <w:i/>
        </w:rPr>
      </w:pPr>
      <w:r w:rsidRPr="00012D8C">
        <w:rPr>
          <w:b/>
          <w:i/>
        </w:rPr>
        <w:t>Move towards a unified pension framework for all workers.</w:t>
      </w:r>
    </w:p>
    <w:p w:rsidR="00764BA7" w:rsidRPr="00012D8C" w:rsidRDefault="00764BA7" w:rsidP="00764BA7">
      <w:pPr>
        <w:pStyle w:val="Listaconvietas"/>
        <w:tabs>
          <w:tab w:val="num" w:pos="1134"/>
        </w:tabs>
        <w:ind w:left="1134" w:hanging="425"/>
        <w:rPr>
          <w:b/>
          <w:i/>
        </w:rPr>
      </w:pPr>
      <w:r w:rsidRPr="00012D8C">
        <w:rPr>
          <w:b/>
          <w:i/>
        </w:rPr>
        <w:t>Reduce inequalities in long-term care by making home care affordable for all.</w:t>
      </w:r>
    </w:p>
    <w:p w:rsidR="00764BA7" w:rsidRPr="007B34D5" w:rsidRDefault="00764BA7" w:rsidP="00764BA7">
      <w:pPr>
        <w:pStyle w:val="Listaconvietas"/>
        <w:tabs>
          <w:tab w:val="num" w:pos="1134"/>
        </w:tabs>
        <w:ind w:left="1134" w:hanging="425"/>
        <w:rPr>
          <w:b/>
          <w:i/>
        </w:rPr>
      </w:pPr>
      <w:r w:rsidRPr="00013BFB">
        <w:rPr>
          <w:b/>
          <w:i/>
        </w:rPr>
        <w:t>Reduce inequalities in caring through better support to informal carers.</w:t>
      </w:r>
    </w:p>
    <w:p w:rsidR="00A23ECB" w:rsidRPr="00A23ECB" w:rsidRDefault="00A23ECB" w:rsidP="00A23ECB">
      <w:pPr>
        <w:pStyle w:val="Textodecuerpo"/>
        <w:rPr>
          <w:lang w:val="en-GB"/>
        </w:rPr>
      </w:pPr>
    </w:p>
    <w:p w:rsidR="00F40B9B" w:rsidRDefault="00F40B9B" w:rsidP="00F40B9B">
      <w:pPr>
        <w:pStyle w:val="Textodecuerpo"/>
        <w:rPr>
          <w:i/>
          <w:color w:val="4F81BD"/>
        </w:rPr>
        <w:sectPr w:rsidR="00F40B9B" w:rsidSect="00F40B9B">
          <w:headerReference w:type="even" r:id="rId34"/>
          <w:headerReference w:type="default" r:id="rId35"/>
          <w:footerReference w:type="even" r:id="rId36"/>
          <w:footerReference w:type="default" r:id="rId37"/>
          <w:endnotePr>
            <w:numFmt w:val="decimal"/>
            <w:numRestart w:val="eachSect"/>
          </w:endnotePr>
          <w:type w:val="oddPage"/>
          <w:pgSz w:w="11906" w:h="16838" w:code="9"/>
          <w:pgMar w:top="2098" w:right="1304" w:bottom="1928" w:left="1304" w:header="1531" w:footer="1474" w:gutter="0"/>
          <w:cols w:space="720"/>
          <w:noEndnote/>
          <w:docGrid w:linePitch="299"/>
        </w:sectPr>
      </w:pPr>
      <w:bookmarkStart w:id="19" w:name="_Toc491856765"/>
    </w:p>
    <w:p w:rsidR="00473421" w:rsidRPr="00B956C4" w:rsidRDefault="00473421" w:rsidP="00B956C4">
      <w:pPr>
        <w:pStyle w:val="Ttulo1"/>
        <w:rPr>
          <w:color w:val="4F81BD"/>
        </w:rPr>
      </w:pPr>
      <w:r w:rsidRPr="00B956C4">
        <w:rPr>
          <w:i/>
          <w:color w:val="4F81BD"/>
        </w:rPr>
        <w:lastRenderedPageBreak/>
        <w:t>Chapter 1</w:t>
      </w:r>
      <w:r w:rsidRPr="00B956C4">
        <w:rPr>
          <w:i/>
          <w:color w:val="4F81BD"/>
        </w:rPr>
        <w:br/>
      </w:r>
      <w:r w:rsidRPr="00B956C4">
        <w:rPr>
          <w:color w:val="4F81BD"/>
        </w:rPr>
        <w:br/>
        <w:t>Preventing ageing unequally</w:t>
      </w:r>
      <w:bookmarkEnd w:id="19"/>
    </w:p>
    <w:p w:rsidR="00473421" w:rsidRDefault="00A85434" w:rsidP="0075163D">
      <w:pPr>
        <w:pStyle w:val="Abstract"/>
      </w:pPr>
      <w:r>
        <w:t>This introductory chapter gives an overview of the entire publication drawing on analyses carried out in the other chapters. A special attention in this report is paid to life course trajectories comparing outcomes across generations. This chapter summarises how old age inequality is often the result of developments which interact across different dimensions and accumulate with age. It highlights that demographic changes combined with recent inequality trends and tight public finance constraints are changing the balance of societies. Risks of increasing inequality among future retirees have been building up in many countries. This chapter also suggests a policy agenda to prevent, mitigate and cope with such inequalities, drawing on good practices in OECD countries and emerging economies. The Executive Summary of the publication includes the key findings and recommendations.</w:t>
      </w:r>
    </w:p>
    <w:p w:rsidR="00473421" w:rsidRPr="00771BD0" w:rsidRDefault="00473421" w:rsidP="0075163D">
      <w:pPr>
        <w:pStyle w:val="Textodecuerpo"/>
      </w:pPr>
      <w:r w:rsidRPr="00771BD0">
        <w:br w:type="page"/>
      </w:r>
    </w:p>
    <w:p w:rsidR="00473421" w:rsidRPr="0075163D" w:rsidRDefault="00473421" w:rsidP="0075163D">
      <w:pPr>
        <w:pStyle w:val="Ttulo2"/>
        <w:rPr>
          <w:color w:val="4F81BD"/>
        </w:rPr>
      </w:pPr>
      <w:bookmarkStart w:id="20" w:name="_Toc488843955"/>
      <w:bookmarkStart w:id="21" w:name="_Toc491856766"/>
      <w:r w:rsidRPr="0075163D">
        <w:rPr>
          <w:color w:val="4F81BD"/>
        </w:rPr>
        <w:lastRenderedPageBreak/>
        <w:t xml:space="preserve">1. </w:t>
      </w:r>
      <w:r w:rsidRPr="0075163D">
        <w:rPr>
          <w:color w:val="4F81BD"/>
        </w:rPr>
        <w:tab/>
        <w:t>Preventing ageing unequally – Why policy makers should care</w:t>
      </w:r>
      <w:bookmarkEnd w:id="20"/>
      <w:bookmarkEnd w:id="21"/>
    </w:p>
    <w:p w:rsidR="00473421" w:rsidRDefault="00473421" w:rsidP="0075163D">
      <w:pPr>
        <w:pStyle w:val="Textodecuerpo"/>
      </w:pPr>
      <w:r w:rsidRPr="002A5228">
        <w:t>In</w:t>
      </w:r>
      <w:r w:rsidRPr="002A5228">
        <w:rPr>
          <w:spacing w:val="11"/>
        </w:rPr>
        <w:t xml:space="preserve"> </w:t>
      </w:r>
      <w:r w:rsidRPr="002A5228">
        <w:t>a</w:t>
      </w:r>
      <w:r w:rsidRPr="002A5228">
        <w:rPr>
          <w:spacing w:val="12"/>
        </w:rPr>
        <w:t xml:space="preserve"> </w:t>
      </w:r>
      <w:r w:rsidRPr="002A5228">
        <w:t>context</w:t>
      </w:r>
      <w:r w:rsidRPr="002A5228">
        <w:rPr>
          <w:spacing w:val="13"/>
        </w:rPr>
        <w:t xml:space="preserve"> </w:t>
      </w:r>
      <w:r w:rsidRPr="002A5228">
        <w:t>of</w:t>
      </w:r>
      <w:r w:rsidRPr="002A5228">
        <w:rPr>
          <w:spacing w:val="16"/>
        </w:rPr>
        <w:t xml:space="preserve"> </w:t>
      </w:r>
      <w:r w:rsidRPr="002A5228">
        <w:t>sl</w:t>
      </w:r>
      <w:r>
        <w:t>uggish</w:t>
      </w:r>
      <w:r w:rsidRPr="002A5228">
        <w:rPr>
          <w:spacing w:val="11"/>
        </w:rPr>
        <w:t xml:space="preserve"> </w:t>
      </w:r>
      <w:r w:rsidRPr="002A5228">
        <w:t>growth</w:t>
      </w:r>
      <w:r w:rsidRPr="002A5228">
        <w:rPr>
          <w:spacing w:val="11"/>
        </w:rPr>
        <w:t xml:space="preserve"> </w:t>
      </w:r>
      <w:r w:rsidRPr="002A5228">
        <w:t>and</w:t>
      </w:r>
      <w:r w:rsidRPr="002A5228">
        <w:rPr>
          <w:spacing w:val="13"/>
        </w:rPr>
        <w:t xml:space="preserve"> </w:t>
      </w:r>
      <w:r w:rsidRPr="002A5228">
        <w:t>widening</w:t>
      </w:r>
      <w:r>
        <w:rPr>
          <w:spacing w:val="87"/>
        </w:rPr>
        <w:t xml:space="preserve"> </w:t>
      </w:r>
      <w:r w:rsidRPr="002A5228">
        <w:t>inequalities</w:t>
      </w:r>
      <w:r w:rsidRPr="002A5228">
        <w:rPr>
          <w:spacing w:val="1"/>
        </w:rPr>
        <w:t xml:space="preserve"> </w:t>
      </w:r>
      <w:r w:rsidRPr="002A5228">
        <w:t>in income a</w:t>
      </w:r>
      <w:r w:rsidRPr="002A5228">
        <w:rPr>
          <w:rFonts w:cs="Calibri"/>
        </w:rPr>
        <w:t xml:space="preserve">nd </w:t>
      </w:r>
      <w:r>
        <w:rPr>
          <w:rFonts w:cs="Calibri"/>
        </w:rPr>
        <w:t xml:space="preserve">other </w:t>
      </w:r>
      <w:r w:rsidRPr="002A5228">
        <w:rPr>
          <w:rFonts w:cs="Calibri"/>
        </w:rPr>
        <w:t>social</w:t>
      </w:r>
      <w:r w:rsidRPr="002A5228">
        <w:rPr>
          <w:rFonts w:cs="Calibri"/>
          <w:spacing w:val="-3"/>
        </w:rPr>
        <w:t xml:space="preserve"> </w:t>
      </w:r>
      <w:r w:rsidRPr="002A5228">
        <w:rPr>
          <w:rFonts w:cs="Calibri"/>
        </w:rPr>
        <w:t>outcomes</w:t>
      </w:r>
      <w:r>
        <w:t>,</w:t>
      </w:r>
      <w:r w:rsidRPr="002A5228">
        <w:t xml:space="preserve"> policy</w:t>
      </w:r>
      <w:r w:rsidRPr="002A5228">
        <w:rPr>
          <w:spacing w:val="23"/>
        </w:rPr>
        <w:t xml:space="preserve"> </w:t>
      </w:r>
      <w:r w:rsidRPr="002A5228">
        <w:t>makers</w:t>
      </w:r>
      <w:r w:rsidRPr="002A5228">
        <w:rPr>
          <w:spacing w:val="24"/>
        </w:rPr>
        <w:t xml:space="preserve"> </w:t>
      </w:r>
      <w:r w:rsidRPr="002A5228">
        <w:t>are</w:t>
      </w:r>
      <w:r w:rsidRPr="002A5228">
        <w:rPr>
          <w:spacing w:val="22"/>
        </w:rPr>
        <w:t xml:space="preserve"> </w:t>
      </w:r>
      <w:r w:rsidRPr="002A5228">
        <w:t>s</w:t>
      </w:r>
      <w:r>
        <w:t>eeking</w:t>
      </w:r>
      <w:r w:rsidRPr="002A5228">
        <w:rPr>
          <w:spacing w:val="21"/>
        </w:rPr>
        <w:t xml:space="preserve"> </w:t>
      </w:r>
      <w:r w:rsidRPr="002A5228">
        <w:t>to</w:t>
      </w:r>
      <w:r w:rsidRPr="002A5228">
        <w:rPr>
          <w:spacing w:val="24"/>
        </w:rPr>
        <w:t xml:space="preserve"> </w:t>
      </w:r>
      <w:r w:rsidRPr="002A5228">
        <w:t>identify</w:t>
      </w:r>
      <w:r w:rsidRPr="002A5228">
        <w:rPr>
          <w:spacing w:val="22"/>
        </w:rPr>
        <w:t xml:space="preserve"> </w:t>
      </w:r>
      <w:r w:rsidRPr="002A5228">
        <w:t>comprehensive,</w:t>
      </w:r>
      <w:r w:rsidRPr="002A5228">
        <w:rPr>
          <w:spacing w:val="23"/>
        </w:rPr>
        <w:t xml:space="preserve"> </w:t>
      </w:r>
      <w:r w:rsidRPr="002A5228">
        <w:t>coherent</w:t>
      </w:r>
      <w:r w:rsidRPr="002A5228">
        <w:rPr>
          <w:spacing w:val="22"/>
        </w:rPr>
        <w:t xml:space="preserve"> </w:t>
      </w:r>
      <w:r w:rsidRPr="002A5228">
        <w:rPr>
          <w:spacing w:val="-2"/>
        </w:rPr>
        <w:t>and</w:t>
      </w:r>
      <w:r w:rsidRPr="002A5228">
        <w:rPr>
          <w:spacing w:val="21"/>
        </w:rPr>
        <w:t xml:space="preserve"> </w:t>
      </w:r>
      <w:r w:rsidRPr="002A5228">
        <w:t>effective</w:t>
      </w:r>
      <w:r w:rsidRPr="002A5228">
        <w:rPr>
          <w:spacing w:val="23"/>
        </w:rPr>
        <w:t xml:space="preserve"> </w:t>
      </w:r>
      <w:r w:rsidRPr="002A5228">
        <w:t>policy</w:t>
      </w:r>
      <w:r w:rsidRPr="002A5228">
        <w:rPr>
          <w:spacing w:val="67"/>
        </w:rPr>
        <w:t xml:space="preserve"> </w:t>
      </w:r>
      <w:r w:rsidRPr="002A5228">
        <w:t>packages</w:t>
      </w:r>
      <w:r w:rsidRPr="002A5228">
        <w:rPr>
          <w:spacing w:val="1"/>
        </w:rPr>
        <w:t xml:space="preserve"> </w:t>
      </w:r>
      <w:r w:rsidRPr="002A5228">
        <w:t>to</w:t>
      </w:r>
      <w:r w:rsidRPr="002A5228">
        <w:rPr>
          <w:spacing w:val="2"/>
        </w:rPr>
        <w:t xml:space="preserve"> </w:t>
      </w:r>
      <w:r w:rsidRPr="002A5228">
        <w:t>foster</w:t>
      </w:r>
      <w:r w:rsidRPr="002A5228">
        <w:rPr>
          <w:spacing w:val="1"/>
        </w:rPr>
        <w:t xml:space="preserve"> </w:t>
      </w:r>
      <w:r>
        <w:t>i</w:t>
      </w:r>
      <w:r w:rsidRPr="002A5228">
        <w:t>nclusive</w:t>
      </w:r>
      <w:r w:rsidRPr="002A5228">
        <w:rPr>
          <w:spacing w:val="1"/>
        </w:rPr>
        <w:t xml:space="preserve"> </w:t>
      </w:r>
      <w:r w:rsidRPr="009230A7">
        <w:rPr>
          <w:spacing w:val="1"/>
        </w:rPr>
        <w:t>g</w:t>
      </w:r>
      <w:r w:rsidRPr="009230A7">
        <w:t xml:space="preserve">rowth. Growing unequally undermines future economic </w:t>
      </w:r>
      <w:r>
        <w:t>development</w:t>
      </w:r>
      <w:r w:rsidRPr="009230A7">
        <w:t>, particularly where inequality of opportunity locks in privilege</w:t>
      </w:r>
      <w:r w:rsidRPr="00AF77B0">
        <w:t xml:space="preserve"> and exclusion, </w:t>
      </w:r>
      <w:r>
        <w:t>reduc</w:t>
      </w:r>
      <w:r w:rsidRPr="00AF77B0">
        <w:t>ing intergenerational social mobility</w:t>
      </w:r>
      <w:r>
        <w:t xml:space="preserve"> and</w:t>
      </w:r>
      <w:r w:rsidRPr="00AF77B0">
        <w:t xml:space="preserve"> social cohesion</w:t>
      </w:r>
      <w:r>
        <w:t xml:space="preserve">. Ageing </w:t>
      </w:r>
      <w:r w:rsidRPr="00996B43">
        <w:t>unequally means inequality that develops through the ageing process and materialises in old</w:t>
      </w:r>
      <w:r>
        <w:t xml:space="preserve"> age. While old-age inequality could be a short cut for “ageing unequally” the report highlights that it is often the result of developments occurring in different dimensions, which interact and cumulate over the life course.</w:t>
      </w:r>
    </w:p>
    <w:p w:rsidR="00473421" w:rsidRDefault="00473421" w:rsidP="0075163D">
      <w:pPr>
        <w:pStyle w:val="Textodecuerpo"/>
      </w:pPr>
      <w:r w:rsidRPr="00B44173">
        <w:t>Inequalities are now at the centre of the international policy agenda.</w:t>
      </w:r>
      <w:r w:rsidR="00306221">
        <w:t xml:space="preserve"> </w:t>
      </w:r>
      <w:r w:rsidRPr="00B44173">
        <w:t xml:space="preserve">The OECD has contributed to this outcome through a series of publications since the late 2000s, such as </w:t>
      </w:r>
      <w:r w:rsidRPr="00B44173">
        <w:rPr>
          <w:i/>
        </w:rPr>
        <w:t xml:space="preserve">Divided We Stand: Why Inequality Keeps Rising </w:t>
      </w:r>
      <w:r w:rsidRPr="00B44173">
        <w:t xml:space="preserve">(2011) and </w:t>
      </w:r>
      <w:r w:rsidRPr="00B44173">
        <w:rPr>
          <w:i/>
        </w:rPr>
        <w:t xml:space="preserve">In It together: Why Less Inequality Benefits All </w:t>
      </w:r>
      <w:r w:rsidRPr="00B44173">
        <w:t>(2015)</w:t>
      </w:r>
      <w:r w:rsidRPr="00B44173">
        <w:rPr>
          <w:i/>
        </w:rPr>
        <w:t>.</w:t>
      </w:r>
      <w:r w:rsidRPr="00B44173">
        <w:t xml:space="preserve"> The OECD </w:t>
      </w:r>
      <w:r w:rsidRPr="00B44173">
        <w:rPr>
          <w:i/>
        </w:rPr>
        <w:t>Better Life Initiative</w:t>
      </w:r>
      <w:r w:rsidRPr="00B44173">
        <w:t xml:space="preserve"> (2011) has led to a better understanding of what drives well-being of people and nations. With the </w:t>
      </w:r>
      <w:r w:rsidRPr="00B44173">
        <w:rPr>
          <w:i/>
        </w:rPr>
        <w:t>All on Board for Inclusive Growth</w:t>
      </w:r>
      <w:r w:rsidRPr="00B44173">
        <w:t xml:space="preserve"> initiative launched in 2012, the OECD has developed a comprehensive framework to help countries design and implement comprehensive, multisectoral policies that can deliver stronger growth and greater inclusiveness.</w:t>
      </w:r>
      <w:r w:rsidRPr="00B44173" w:rsidDel="00FB35C9">
        <w:t xml:space="preserve"> </w:t>
      </w:r>
      <w:r w:rsidRPr="00B44173">
        <w:t>Recent OECD work (OECD, 2016a, 2015a, 2011a) documented the increase in earnings inequality, the rising share of non-standard work, labour market difficulties encountered by youth, and high unemployment in some countries over past decades.</w:t>
      </w:r>
      <w:r w:rsidRPr="00B44173">
        <w:rPr>
          <w:rStyle w:val="Refdenotaalfinal"/>
        </w:rPr>
        <w:endnoteReference w:id="1"/>
      </w:r>
      <w:r w:rsidRPr="00B44173">
        <w:t xml:space="preserve"> </w:t>
      </w:r>
    </w:p>
    <w:p w:rsidR="00473421" w:rsidRPr="00B04858" w:rsidRDefault="00473421" w:rsidP="0075163D">
      <w:pPr>
        <w:pStyle w:val="Textodecuerpo"/>
      </w:pPr>
      <w:r w:rsidRPr="00B04858">
        <w:t xml:space="preserve">Younger generations are living in a very different world from the one previous generations experienced. Baby boomers, i.e. those born after World War II and until the early 1960s, benefited from a period of sustained economic growth, major health and social improvements and growing employment rates. By contrast, members of “Generation X”, the people now aged 35-50, can no longer assume to be richer in old age than their parents. The “Millennial Generation”, which reached adulthood after 2000, has been particularly hard hit by the Great Recession and its aftermath, reducing their prospects for stable careers (OECD, 2016b). Furthermore, digitalisation and automation are progressing rapidly. They are leading to substantial improvements in living standards, e.g. through technological progress in the health sector and improved communication for those living alone or losing physical autonomy. But they are also profoundly transforming the world of work, challenging the job prospects of many workers and requiring them to adapt their skills to a rapidly changing environment. For many a “job for life” or even a “career for life” are no longer realistic scenarios. Income gains seen over past generations have slowed down or even stalled in many countries. While life expectancy continues to rise, new health risks have also emerged such as the threat posed by rising obesity, modifying the way populations age. </w:t>
      </w:r>
    </w:p>
    <w:p w:rsidR="00473421" w:rsidRDefault="00473421" w:rsidP="0075163D">
      <w:pPr>
        <w:pStyle w:val="Textodecuerpo"/>
      </w:pPr>
      <w:r>
        <w:t>As a result of these trends, t</w:t>
      </w:r>
      <w:r w:rsidRPr="00BB1AC2">
        <w:t>he future elderly population will experience old age in much more varied ways</w:t>
      </w:r>
      <w:r>
        <w:t>. M</w:t>
      </w:r>
      <w:r w:rsidRPr="00BB1AC2">
        <w:t xml:space="preserve">ost </w:t>
      </w:r>
      <w:r>
        <w:t xml:space="preserve">people </w:t>
      </w:r>
      <w:r w:rsidRPr="00BB1AC2">
        <w:t>will live longer but some will have accumulated periods of inactivity</w:t>
      </w:r>
      <w:r>
        <w:t xml:space="preserve"> and</w:t>
      </w:r>
      <w:r w:rsidRPr="00BB1AC2">
        <w:t xml:space="preserve"> low pay while others will have experienced stable and rewarding careers. </w:t>
      </w:r>
      <w:r>
        <w:t>Some will be in relatively good health until old age while others will still experience health problems at an early age, with risks for their employment and earnings, and depend on others for their care. G</w:t>
      </w:r>
      <w:r w:rsidRPr="00BB1AC2">
        <w:t xml:space="preserve">rowing disparities in labour market conditions </w:t>
      </w:r>
      <w:r>
        <w:t>will likely</w:t>
      </w:r>
      <w:r w:rsidRPr="00BB1AC2">
        <w:t xml:space="preserve"> result in higher pensioner poverty in the future. </w:t>
      </w:r>
      <w:r>
        <w:t>Moreover, many countries have already lowered pension promises as a response to population ageing. F</w:t>
      </w:r>
      <w:r w:rsidRPr="006E00B5">
        <w:t xml:space="preserve">inancing of pensions and </w:t>
      </w:r>
      <w:r>
        <w:t xml:space="preserve">long-term </w:t>
      </w:r>
      <w:r w:rsidRPr="006E00B5">
        <w:t xml:space="preserve">caring </w:t>
      </w:r>
      <w:r>
        <w:t xml:space="preserve">is likely to </w:t>
      </w:r>
      <w:r w:rsidRPr="006E00B5">
        <w:t>becom</w:t>
      </w:r>
      <w:r>
        <w:t>e</w:t>
      </w:r>
      <w:r w:rsidRPr="006E00B5">
        <w:t xml:space="preserve"> more difficult.</w:t>
      </w:r>
      <w:r>
        <w:t xml:space="preserve"> </w:t>
      </w:r>
      <w:r w:rsidRPr="00BB1AC2">
        <w:t xml:space="preserve">Therefore, the sustained </w:t>
      </w:r>
      <w:r>
        <w:lastRenderedPageBreak/>
        <w:t xml:space="preserve">and broadly shared </w:t>
      </w:r>
      <w:r w:rsidRPr="00BB1AC2">
        <w:t>improvement in the living standards of elderly people seen over past decades may not continue in the future.</w:t>
      </w:r>
    </w:p>
    <w:p w:rsidR="00473421" w:rsidRPr="005740F2" w:rsidRDefault="00473421" w:rsidP="0075163D">
      <w:pPr>
        <w:pStyle w:val="Textodecuerpo"/>
      </w:pPr>
      <w:r w:rsidRPr="006A0CF4">
        <w:t>This repor</w:t>
      </w:r>
      <w:r>
        <w:t xml:space="preserve">t examines how the two global mega-trends of population ageing and rising inequalities have been developing and interacting, both within and across generations. </w:t>
      </w:r>
      <w:r w:rsidRPr="00667E26">
        <w:t>It first discusses global ageing trends and documents how health status and life expectancy differ between socio</w:t>
      </w:r>
      <w:r w:rsidR="00B54C38">
        <w:t>-</w:t>
      </w:r>
      <w:r w:rsidRPr="00667E26">
        <w:t>economic groups</w:t>
      </w:r>
      <w:r>
        <w:t>.</w:t>
      </w:r>
      <w:r w:rsidR="00306221">
        <w:t xml:space="preserve"> </w:t>
      </w:r>
      <w:r w:rsidRPr="00667E26">
        <w:t>It then analyses how younger generations today fare compared to the inequalities their parents and grandparents experienced. Taking a life</w:t>
      </w:r>
      <w:r w:rsidR="008363F8">
        <w:t xml:space="preserve"> </w:t>
      </w:r>
      <w:r w:rsidRPr="00667E26">
        <w:t>course perspective the report shows how inequalities in education, health, employment and earnings compound resulting in large differences in lifetime earnings across different groups.</w:t>
      </w:r>
      <w:r>
        <w:t xml:space="preserve"> It suggests a policy agenda to prevent, mitigate and cope with inequalities along the life course</w:t>
      </w:r>
      <w:r w:rsidRPr="00667E26">
        <w:t xml:space="preserve"> </w:t>
      </w:r>
      <w:r>
        <w:t>drawing on good practices in OECD countries and emerging economies.</w:t>
      </w:r>
    </w:p>
    <w:p w:rsidR="00473421" w:rsidRPr="00975248" w:rsidRDefault="00473421" w:rsidP="0075163D">
      <w:pPr>
        <w:pStyle w:val="Ttulo3"/>
      </w:pPr>
      <w:r>
        <w:t xml:space="preserve">Rapid </w:t>
      </w:r>
      <w:r w:rsidRPr="00975248">
        <w:t>ageing with large differences in life expectancy within and across countries</w:t>
      </w:r>
    </w:p>
    <w:p w:rsidR="00473421" w:rsidRDefault="00473421" w:rsidP="0075163D">
      <w:pPr>
        <w:pStyle w:val="Textodecuerpo"/>
      </w:pPr>
      <w:r>
        <w:t>Worldwide, p</w:t>
      </w:r>
      <w:r w:rsidRPr="00975248">
        <w:t>opulation</w:t>
      </w:r>
      <w:r>
        <w:t>s are</w:t>
      </w:r>
      <w:r w:rsidRPr="00975248">
        <w:t xml:space="preserve"> ageing </w:t>
      </w:r>
      <w:r>
        <w:t xml:space="preserve">rapidly due to </w:t>
      </w:r>
      <w:r w:rsidRPr="005E0A2F">
        <w:t xml:space="preserve">life expectancy </w:t>
      </w:r>
      <w:r>
        <w:t xml:space="preserve">gains </w:t>
      </w:r>
      <w:r w:rsidRPr="005E0A2F">
        <w:t>and declines in fertility rates</w:t>
      </w:r>
      <w:r>
        <w:t xml:space="preserve">. </w:t>
      </w:r>
      <w:r w:rsidRPr="00640904">
        <w:t>Health improvements have been tremendous since the second half of the 19</w:t>
      </w:r>
      <w:r w:rsidRPr="00640904">
        <w:rPr>
          <w:vertAlign w:val="superscript"/>
        </w:rPr>
        <w:t>th</w:t>
      </w:r>
      <w:r>
        <w:rPr>
          <w:vertAlign w:val="superscript"/>
        </w:rPr>
        <w:t> </w:t>
      </w:r>
      <w:r w:rsidRPr="00640904">
        <w:t>century and life expectancy</w:t>
      </w:r>
      <w:r>
        <w:t xml:space="preserve"> has increased for </w:t>
      </w:r>
      <w:r w:rsidRPr="00640904">
        <w:t>each successive cohort</w:t>
      </w:r>
      <w:r>
        <w:t>, apart from temporary mortality spikes due to the world wars. In 1980, there were 20 persons aged 65 and over f</w:t>
      </w:r>
      <w:r w:rsidRPr="005E0A2F">
        <w:t>or every 100</w:t>
      </w:r>
      <w:r>
        <w:t> </w:t>
      </w:r>
      <w:r w:rsidRPr="005E0A2F">
        <w:t>people of working</w:t>
      </w:r>
      <w:r>
        <w:t xml:space="preserve"> </w:t>
      </w:r>
      <w:r w:rsidRPr="005E0A2F">
        <w:t>age (</w:t>
      </w:r>
      <w:r w:rsidRPr="00153D5D">
        <w:t>20-64 years) on average across the OECD; by 2015 this number had risen to 28 (Figure 1.1) and w</w:t>
      </w:r>
      <w:r>
        <w:t>ith sharp acceleration is projected</w:t>
      </w:r>
      <w:r w:rsidRPr="005E0A2F">
        <w:t xml:space="preserve"> </w:t>
      </w:r>
      <w:r>
        <w:t>to almost</w:t>
      </w:r>
      <w:r w:rsidRPr="005E0A2F">
        <w:t xml:space="preserve"> double b</w:t>
      </w:r>
      <w:r>
        <w:t>etween</w:t>
      </w:r>
      <w:r w:rsidRPr="005E0A2F">
        <w:t xml:space="preserve"> </w:t>
      </w:r>
      <w:r>
        <w:t xml:space="preserve">2015 and </w:t>
      </w:r>
      <w:r w:rsidRPr="005E0A2F">
        <w:t>205</w:t>
      </w:r>
      <w:r>
        <w:t>0</w:t>
      </w:r>
      <w:r w:rsidRPr="00640904">
        <w:t>.</w:t>
      </w:r>
    </w:p>
    <w:p w:rsidR="00473421" w:rsidRDefault="00473421" w:rsidP="0075163D">
      <w:pPr>
        <w:pStyle w:val="Textodecuerpo"/>
      </w:pPr>
      <w:r>
        <w:t xml:space="preserve">Japan is by far the oldest OECD country: its old-age dependency ratio increased by 32 points between 1980 and 2015. During that period, ageing was also rapid in Finland, Greece, Italy and Portugal while that ratio remained broadly stable in Ireland, Luxembourg, Mexico, Norway and the Slovak Republic. On this measure, Japan will remain the oldest country in 2050. Korea, however, is ageing the fastest, followed by Greece, Italy, Portugal and Spain which will also be ageing very rapidly. Across OECD countries, </w:t>
      </w:r>
      <w:r w:rsidRPr="00F05F14">
        <w:t xml:space="preserve">life expectancy at age 65 </w:t>
      </w:r>
      <w:r>
        <w:t xml:space="preserve">ranges from </w:t>
      </w:r>
      <w:r w:rsidRPr="00F05F14">
        <w:t>19 to 22</w:t>
      </w:r>
      <w:r>
        <w:t> </w:t>
      </w:r>
      <w:r w:rsidRPr="00F05F14">
        <w:t>years</w:t>
      </w:r>
      <w:r>
        <w:t xml:space="preserve"> in 2010-15.</w:t>
      </w:r>
    </w:p>
    <w:p w:rsidR="00473421" w:rsidRDefault="00473421" w:rsidP="0075163D">
      <w:pPr>
        <w:pStyle w:val="Textodecuerpo"/>
      </w:pPr>
      <w:r>
        <w:t xml:space="preserve">Population ageing differs across regions (within countries): urban centres draw younger and more mobile workers while rural areas are often already much older, larger shares of retirees and fewer younger workers to support them. On a national level, </w:t>
      </w:r>
      <w:r w:rsidRPr="00BE0296">
        <w:t xml:space="preserve">the share of the older population ranged from 6% in Mexico to 26% in Japan in 2014, </w:t>
      </w:r>
      <w:r>
        <w:t xml:space="preserve">but taking a closer </w:t>
      </w:r>
      <w:r w:rsidRPr="00BE0296">
        <w:t>look at the regional</w:t>
      </w:r>
      <w:r>
        <w:t> </w:t>
      </w:r>
      <w:r w:rsidRPr="00BE0296">
        <w:t>(TL3)</w:t>
      </w:r>
      <w:r>
        <w:t xml:space="preserve"> level shows much more variation</w:t>
      </w:r>
      <w:r w:rsidRPr="00BE0296">
        <w:t>.</w:t>
      </w:r>
      <w:r w:rsidRPr="000F798A">
        <w:rPr>
          <w:rStyle w:val="Refdenotaalfinal"/>
        </w:rPr>
        <w:endnoteReference w:id="2"/>
      </w:r>
      <w:r w:rsidRPr="000F798A">
        <w:rPr>
          <w:rStyle w:val="Refdenotaalfinal"/>
        </w:rPr>
        <w:t xml:space="preserve"> </w:t>
      </w:r>
      <w:r>
        <w:t xml:space="preserve">The share of the population aged 65+ </w:t>
      </w:r>
      <w:r w:rsidRPr="00BE0296">
        <w:t>ranged from 2% in the Chilean region of Antártica Chilena to 3</w:t>
      </w:r>
      <w:r>
        <w:t>3</w:t>
      </w:r>
      <w:r w:rsidRPr="00BE0296">
        <w:t>% in Greece’s Evrytania region</w:t>
      </w:r>
      <w:r>
        <w:t xml:space="preserve">; </w:t>
      </w:r>
      <w:r w:rsidRPr="00BE0296">
        <w:t xml:space="preserve">both </w:t>
      </w:r>
      <w:r>
        <w:t xml:space="preserve">are </w:t>
      </w:r>
      <w:r w:rsidRPr="00BE0296">
        <w:t>classified as rural remote regions. Spain, Mexico</w:t>
      </w:r>
      <w:r>
        <w:t xml:space="preserve"> and</w:t>
      </w:r>
      <w:r w:rsidRPr="00BE0296">
        <w:t xml:space="preserve"> Australia have the largest regional differences, w</w:t>
      </w:r>
      <w:r>
        <w:t xml:space="preserve">ith about 20-percentage point differences between the youngest and oldest </w:t>
      </w:r>
      <w:r w:rsidRPr="00BE0296">
        <w:t>region</w:t>
      </w:r>
      <w:r>
        <w:t>s</w:t>
      </w:r>
      <w:r w:rsidRPr="00BE0296">
        <w:t xml:space="preserve">. </w:t>
      </w:r>
      <w:r>
        <w:t>At around 5 percentage points, r</w:t>
      </w:r>
      <w:r w:rsidRPr="00BE0296">
        <w:t>egional differences are lowest in Central and Eastern Europe</w:t>
      </w:r>
      <w:r>
        <w:t>an</w:t>
      </w:r>
      <w:r w:rsidRPr="00BE0296">
        <w:t xml:space="preserve"> countries</w:t>
      </w:r>
      <w:r>
        <w:t xml:space="preserve"> </w:t>
      </w:r>
      <w:r w:rsidRPr="00BE0296">
        <w:t>and Ireland.</w:t>
      </w:r>
    </w:p>
    <w:p w:rsidR="00473421" w:rsidRPr="00FD3368" w:rsidRDefault="00473421" w:rsidP="0075163D">
      <w:pPr>
        <w:pStyle w:val="Textodecuerpo"/>
      </w:pPr>
      <w:r>
        <w:t>T</w:t>
      </w:r>
      <w:r w:rsidRPr="00FD3368">
        <w:t xml:space="preserve">he pace of ageing </w:t>
      </w:r>
      <w:r>
        <w:t xml:space="preserve">of the population structure </w:t>
      </w:r>
      <w:r w:rsidRPr="00FD3368">
        <w:t>is much faster in many emerging economies. In OECD countries, life expectancy at birth rose by an average of 7.2</w:t>
      </w:r>
      <w:r>
        <w:t> </w:t>
      </w:r>
      <w:r w:rsidRPr="00FD3368">
        <w:t>years between 1980 and 2015; by contrast, it increased by 20.5</w:t>
      </w:r>
      <w:r>
        <w:t> </w:t>
      </w:r>
      <w:r w:rsidRPr="00FD3368">
        <w:t>years in India and by 11.3</w:t>
      </w:r>
      <w:r>
        <w:t> </w:t>
      </w:r>
      <w:r w:rsidRPr="00FD3368">
        <w:t>years in Brazil over the same period. In Russia, however, the increase was only 2.4</w:t>
      </w:r>
      <w:r>
        <w:t> </w:t>
      </w:r>
      <w:r w:rsidRPr="00FD3368">
        <w:t>years and South Africa lost 1.3</w:t>
      </w:r>
      <w:r>
        <w:t> </w:t>
      </w:r>
      <w:r w:rsidRPr="00FD3368">
        <w:t xml:space="preserve">years of life expectancy. In 2015, old-age dependency ratios in Brazil and China were </w:t>
      </w:r>
      <w:r>
        <w:t xml:space="preserve">half </w:t>
      </w:r>
      <w:r w:rsidRPr="00FD3368">
        <w:t>the OECD average;</w:t>
      </w:r>
      <w:r>
        <w:t xml:space="preserve"> </w:t>
      </w:r>
      <w:r w:rsidRPr="00FD3368">
        <w:t>by 205</w:t>
      </w:r>
      <w:r>
        <w:t>0</w:t>
      </w:r>
      <w:r w:rsidRPr="00FD3368">
        <w:t xml:space="preserve"> both countries will be </w:t>
      </w:r>
      <w:r>
        <w:t>rapidly closing in on the</w:t>
      </w:r>
      <w:r w:rsidRPr="00FD3368">
        <w:t xml:space="preserve"> average OECD country</w:t>
      </w:r>
      <w:r>
        <w:t xml:space="preserve"> and by 2075 they will be older than the average OECD country</w:t>
      </w:r>
      <w:r w:rsidRPr="00FD3368">
        <w:t>.</w:t>
      </w:r>
    </w:p>
    <w:p w:rsidR="00473421" w:rsidRPr="0023214D" w:rsidRDefault="00473421" w:rsidP="0075163D">
      <w:pPr>
        <w:pStyle w:val="FigureTitle"/>
        <w:rPr>
          <w:lang w:val="en-US"/>
        </w:rPr>
      </w:pPr>
      <w:bookmarkStart w:id="22" w:name="_Toc493088634"/>
      <w:r w:rsidRPr="0023214D">
        <w:rPr>
          <w:lang w:val="en-US"/>
        </w:rPr>
        <w:lastRenderedPageBreak/>
        <w:t>Figure 1.</w:t>
      </w:r>
      <w:r>
        <w:rPr>
          <w:lang w:val="en-US"/>
        </w:rPr>
        <w:t>1</w:t>
      </w:r>
      <w:r w:rsidRPr="0023214D">
        <w:rPr>
          <w:lang w:val="en-US"/>
        </w:rPr>
        <w:t xml:space="preserve">. </w:t>
      </w:r>
      <w:r>
        <w:rPr>
          <w:lang w:val="en-US"/>
        </w:rPr>
        <w:t>T</w:t>
      </w:r>
      <w:r w:rsidRPr="0023214D">
        <w:rPr>
          <w:lang w:val="en-US"/>
        </w:rPr>
        <w:t>he old-age dependency ratio</w:t>
      </w:r>
      <w:r>
        <w:rPr>
          <w:lang w:val="en-US"/>
        </w:rPr>
        <w:t xml:space="preserve"> will almost double in the next 35 years on average</w:t>
      </w:r>
      <w:bookmarkEnd w:id="22"/>
    </w:p>
    <w:p w:rsidR="00473421" w:rsidRPr="0023214D" w:rsidRDefault="00473421" w:rsidP="0075163D">
      <w:pPr>
        <w:pStyle w:val="FigureSub-title"/>
        <w:rPr>
          <w:lang w:val="en-US"/>
        </w:rPr>
      </w:pPr>
      <w:r>
        <w:rPr>
          <w:lang w:val="en-US"/>
        </w:rPr>
        <w:t>N</w:t>
      </w:r>
      <w:r w:rsidRPr="0023214D">
        <w:rPr>
          <w:lang w:val="en-US"/>
        </w:rPr>
        <w:t>umber of people older than 65 years per 100 people of working</w:t>
      </w:r>
      <w:r w:rsidR="00593DFE">
        <w:rPr>
          <w:lang w:val="en-US"/>
        </w:rPr>
        <w:t xml:space="preserve"> </w:t>
      </w:r>
      <w:r w:rsidRPr="0023214D">
        <w:rPr>
          <w:lang w:val="en-US"/>
        </w:rPr>
        <w:t>age (20-64)</w:t>
      </w:r>
      <w:r>
        <w:rPr>
          <w:lang w:val="en-US"/>
        </w:rPr>
        <w:t>, 1980-2050</w:t>
      </w:r>
    </w:p>
    <w:p w:rsidR="00473421" w:rsidRPr="00526821" w:rsidRDefault="00473421" w:rsidP="00F76198">
      <w:pPr>
        <w:jc w:val="center"/>
      </w:pPr>
      <w:r w:rsidRPr="00071487">
        <w:rPr>
          <w:noProof/>
          <w:lang w:val="es-ES" w:eastAsia="es-ES"/>
        </w:rPr>
        <w:drawing>
          <wp:inline distT="0" distB="0" distL="0" distR="0" wp14:anchorId="110E0070" wp14:editId="6133739F">
            <wp:extent cx="4881850" cy="19090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15480" cy="1922155"/>
                    </a:xfrm>
                    <a:prstGeom prst="rect">
                      <a:avLst/>
                    </a:prstGeom>
                    <a:noFill/>
                    <a:ln>
                      <a:noFill/>
                    </a:ln>
                  </pic:spPr>
                </pic:pic>
              </a:graphicData>
            </a:graphic>
          </wp:inline>
        </w:drawing>
      </w:r>
    </w:p>
    <w:p w:rsidR="00473421" w:rsidRDefault="00473421" w:rsidP="00F76198">
      <w:pPr>
        <w:pStyle w:val="SourceDescription"/>
        <w:spacing w:after="120"/>
      </w:pPr>
      <w:r w:rsidRPr="00771BD0">
        <w:rPr>
          <w:i/>
        </w:rPr>
        <w:t>Source</w:t>
      </w:r>
      <w:r w:rsidRPr="00C9430E">
        <w:t>:</w:t>
      </w:r>
      <w:r>
        <w:t xml:space="preserve"> United Nations </w:t>
      </w:r>
      <w:r w:rsidRPr="00C9430E">
        <w:t>World Population Prospects: The 2015 Revision</w:t>
      </w:r>
      <w:r>
        <w:t>.</w:t>
      </w:r>
    </w:p>
    <w:p w:rsidR="00117011" w:rsidRPr="00117011" w:rsidRDefault="001766F9" w:rsidP="00F76198">
      <w:pPr>
        <w:autoSpaceDE w:val="0"/>
        <w:autoSpaceDN w:val="0"/>
        <w:adjustRightInd w:val="0"/>
        <w:spacing w:after="240"/>
        <w:jc w:val="right"/>
        <w:rPr>
          <w:i/>
          <w:iCs/>
          <w:color w:val="0000FF"/>
          <w:sz w:val="14"/>
          <w:szCs w:val="14"/>
        </w:rPr>
      </w:pPr>
      <w:r w:rsidRPr="001766F9">
        <w:rPr>
          <w:rFonts w:ascii="StatLink" w:hAnsi="StatLink" w:cs="StatLink"/>
          <w:color w:val="000000"/>
          <w:sz w:val="14"/>
          <w:szCs w:val="14"/>
        </w:rPr>
        <w:t xml:space="preserve">1 2 </w:t>
      </w:r>
      <w:hyperlink r:id="rId39"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10.1787/888933566058</w:t>
      </w:r>
    </w:p>
    <w:p w:rsidR="00473421" w:rsidRPr="0076370A" w:rsidRDefault="00473421" w:rsidP="0075163D">
      <w:pPr>
        <w:pStyle w:val="Textodecuerpo"/>
      </w:pPr>
      <w:r w:rsidRPr="0076370A">
        <w:t>Living a long life will be the norm</w:t>
      </w:r>
      <w:r>
        <w:t xml:space="preserve"> in most countries</w:t>
      </w:r>
      <w:r w:rsidRPr="0076370A">
        <w:t xml:space="preserve">. </w:t>
      </w:r>
      <w:r>
        <w:t>O</w:t>
      </w:r>
      <w:r w:rsidRPr="0076370A">
        <w:t xml:space="preserve">n average across countries, </w:t>
      </w:r>
      <w:r>
        <w:t>8</w:t>
      </w:r>
      <w:r w:rsidRPr="0076370A">
        <w:t xml:space="preserve">0% </w:t>
      </w:r>
      <w:r>
        <w:t>o</w:t>
      </w:r>
      <w:r w:rsidRPr="0076370A">
        <w:t>f males born 70</w:t>
      </w:r>
      <w:r>
        <w:t> </w:t>
      </w:r>
      <w:r w:rsidRPr="0076370A">
        <w:t xml:space="preserve">years ago </w:t>
      </w:r>
      <w:r>
        <w:t>have reached age 70 and</w:t>
      </w:r>
      <w:r w:rsidRPr="0076370A">
        <w:t xml:space="preserve"> 93% </w:t>
      </w:r>
      <w:r>
        <w:t xml:space="preserve">of </w:t>
      </w:r>
      <w:r w:rsidRPr="0076370A">
        <w:t>males born today</w:t>
      </w:r>
      <w:r>
        <w:t xml:space="preserve"> are expected to do so; for women, the respective shares are 89% and</w:t>
      </w:r>
      <w:r w:rsidRPr="0076370A">
        <w:t xml:space="preserve"> 96%. </w:t>
      </w:r>
      <w:r>
        <w:t>T</w:t>
      </w:r>
      <w:r w:rsidRPr="0076370A">
        <w:t xml:space="preserve">he </w:t>
      </w:r>
      <w:r>
        <w:t xml:space="preserve">probability of </w:t>
      </w:r>
      <w:r w:rsidRPr="0076370A">
        <w:t>surviv</w:t>
      </w:r>
      <w:r>
        <w:t>ing</w:t>
      </w:r>
      <w:r w:rsidRPr="0076370A">
        <w:t xml:space="preserve"> </w:t>
      </w:r>
      <w:r>
        <w:t>to</w:t>
      </w:r>
      <w:r w:rsidRPr="0076370A">
        <w:t xml:space="preserve"> age</w:t>
      </w:r>
      <w:r>
        <w:t> </w:t>
      </w:r>
      <w:r w:rsidRPr="0076370A">
        <w:t>85 will increase from 50% today to 75% by 2100 for males</w:t>
      </w:r>
      <w:r>
        <w:t xml:space="preserve"> born today</w:t>
      </w:r>
      <w:r w:rsidRPr="0076370A">
        <w:t>, and from 64% to 83%</w:t>
      </w:r>
      <w:r>
        <w:t>,</w:t>
      </w:r>
      <w:r w:rsidRPr="0076370A">
        <w:t xml:space="preserve"> respectively</w:t>
      </w:r>
      <w:r>
        <w:t>,</w:t>
      </w:r>
      <w:r w:rsidRPr="0076370A">
        <w:t xml:space="preserve"> for females.</w:t>
      </w:r>
    </w:p>
    <w:p w:rsidR="00473421" w:rsidRPr="00D43D09" w:rsidRDefault="00473421" w:rsidP="0075163D">
      <w:pPr>
        <w:pStyle w:val="Textodecuerpo"/>
      </w:pPr>
      <w:r>
        <w:t xml:space="preserve">Ageing is not a uniform process, </w:t>
      </w:r>
      <w:r w:rsidRPr="003B4258">
        <w:t>however</w:t>
      </w:r>
      <w:r>
        <w:t xml:space="preserve">. A 25-year old university-educated </w:t>
      </w:r>
      <w:r w:rsidRPr="00A615B3">
        <w:t>m</w:t>
      </w:r>
      <w:r>
        <w:t>a</w:t>
      </w:r>
      <w:r w:rsidRPr="00A615B3">
        <w:t>n can expect to live 7.</w:t>
      </w:r>
      <w:r w:rsidR="005D77C1">
        <w:t>5</w:t>
      </w:r>
      <w:r>
        <w:t> </w:t>
      </w:r>
      <w:r w:rsidRPr="00A615B3">
        <w:t xml:space="preserve">years longer than </w:t>
      </w:r>
      <w:r>
        <w:t>his low-educated peer</w:t>
      </w:r>
      <w:r w:rsidRPr="00A615B3">
        <w:t xml:space="preserve">, on average across countries; for women the difference is </w:t>
      </w:r>
      <w:r>
        <w:t xml:space="preserve">much lower at </w:t>
      </w:r>
      <w:r w:rsidRPr="00A615B3">
        <w:t>4.</w:t>
      </w:r>
      <w:r>
        <w:t>6 </w:t>
      </w:r>
      <w:r w:rsidRPr="00A615B3">
        <w:t>years.</w:t>
      </w:r>
      <w:r w:rsidRPr="003C4E60">
        <w:rPr>
          <w:rStyle w:val="Refdenotaalfinal"/>
        </w:rPr>
        <w:endnoteReference w:id="3"/>
      </w:r>
      <w:r w:rsidRPr="003C4E60">
        <w:t xml:space="preserve"> </w:t>
      </w:r>
      <w:r w:rsidRPr="00A615B3">
        <w:t>At age</w:t>
      </w:r>
      <w:r>
        <w:t> </w:t>
      </w:r>
      <w:r w:rsidRPr="00A615B3">
        <w:t>65, these life expectancy gaps are</w:t>
      </w:r>
      <w:r>
        <w:t> </w:t>
      </w:r>
      <w:r w:rsidRPr="00A615B3">
        <w:t>3.</w:t>
      </w:r>
      <w:r>
        <w:t>5</w:t>
      </w:r>
      <w:r w:rsidRPr="00A615B3">
        <w:t xml:space="preserve"> and 2.</w:t>
      </w:r>
      <w:r w:rsidR="005D77C1">
        <w:t>4</w:t>
      </w:r>
      <w:r>
        <w:t> </w:t>
      </w:r>
      <w:r w:rsidRPr="00A615B3">
        <w:t>years, respectively</w:t>
      </w:r>
      <w:r>
        <w:t xml:space="preserve">. </w:t>
      </w:r>
      <w:r w:rsidR="00D679B9">
        <w:t xml:space="preserve">They </w:t>
      </w:r>
      <w:r w:rsidRPr="00A615B3">
        <w:t xml:space="preserve">are especially large </w:t>
      </w:r>
      <w:r>
        <w:t xml:space="preserve">for men </w:t>
      </w:r>
      <w:r w:rsidRPr="00A615B3">
        <w:t xml:space="preserve">in </w:t>
      </w:r>
      <w:r>
        <w:t>Belgium, Chile</w:t>
      </w:r>
      <w:r w:rsidRPr="00A615B3">
        <w:t xml:space="preserve">, </w:t>
      </w:r>
      <w:r>
        <w:t>the Czech Republic and Hungary</w:t>
      </w:r>
      <w:r w:rsidRPr="00A615B3">
        <w:t xml:space="preserve">, </w:t>
      </w:r>
      <w:r>
        <w:t xml:space="preserve">but </w:t>
      </w:r>
      <w:r w:rsidRPr="00A615B3">
        <w:t xml:space="preserve">comparatively low in </w:t>
      </w:r>
      <w:r>
        <w:t xml:space="preserve">Mexico and </w:t>
      </w:r>
      <w:r w:rsidRPr="00A615B3">
        <w:t>New Zealand</w:t>
      </w:r>
      <w:r>
        <w:t xml:space="preserve"> </w:t>
      </w:r>
      <w:r w:rsidRPr="00153D5D">
        <w:t>(Figure</w:t>
      </w:r>
      <w:r>
        <w:t> </w:t>
      </w:r>
      <w:r w:rsidRPr="00153D5D">
        <w:t>1.2). Expr</w:t>
      </w:r>
      <w:r w:rsidRPr="00A615B3">
        <w:t>essed as a percentage of remaining life expectancy</w:t>
      </w:r>
      <w:r w:rsidR="00101310">
        <w:t xml:space="preserve"> of the highly educated</w:t>
      </w:r>
      <w:r w:rsidRPr="00A615B3">
        <w:t xml:space="preserve">, </w:t>
      </w:r>
      <w:r>
        <w:t>d</w:t>
      </w:r>
      <w:r w:rsidRPr="00A615B3">
        <w:t xml:space="preserve">ifferences </w:t>
      </w:r>
      <w:r>
        <w:t xml:space="preserve">between high- and low-educated </w:t>
      </w:r>
      <w:r w:rsidRPr="00A615B3">
        <w:t xml:space="preserve">groups, are </w:t>
      </w:r>
      <w:r w:rsidR="00101310">
        <w:t>18.5</w:t>
      </w:r>
      <w:r>
        <w:t>% for men and</w:t>
      </w:r>
      <w:r w:rsidR="00101310">
        <w:t xml:space="preserve"> 11.9</w:t>
      </w:r>
      <w:r w:rsidRPr="00A615B3">
        <w:t xml:space="preserve">% for </w:t>
      </w:r>
      <w:r>
        <w:t>women</w:t>
      </w:r>
      <w:r w:rsidRPr="00A615B3">
        <w:t xml:space="preserve"> at age</w:t>
      </w:r>
      <w:r>
        <w:t> </w:t>
      </w:r>
      <w:r w:rsidRPr="00A615B3">
        <w:t>65</w:t>
      </w:r>
      <w:r>
        <w:t>, on average across countries, and larger than at age 25.</w:t>
      </w:r>
    </w:p>
    <w:p w:rsidR="00473421" w:rsidRDefault="00473421" w:rsidP="0075163D">
      <w:pPr>
        <w:pStyle w:val="FigureTitle"/>
        <w:spacing w:before="120"/>
      </w:pPr>
      <w:bookmarkStart w:id="23" w:name="_Toc493088635"/>
      <w:r w:rsidRPr="00F76642">
        <w:t>Figure 1.</w:t>
      </w:r>
      <w:r>
        <w:t>2</w:t>
      </w:r>
      <w:r w:rsidRPr="00F76642">
        <w:t>. Life expectancy gap</w:t>
      </w:r>
      <w:r>
        <w:t>s</w:t>
      </w:r>
      <w:r w:rsidRPr="00F76642">
        <w:t xml:space="preserve"> between high</w:t>
      </w:r>
      <w:r>
        <w:t>-</w:t>
      </w:r>
      <w:r w:rsidRPr="00F76642">
        <w:t xml:space="preserve"> and low</w:t>
      </w:r>
      <w:r>
        <w:t>-</w:t>
      </w:r>
      <w:r w:rsidRPr="00F76642">
        <w:t>educat</w:t>
      </w:r>
      <w:r>
        <w:t>ed</w:t>
      </w:r>
      <w:r w:rsidRPr="00F76642">
        <w:t xml:space="preserve"> groups at age</w:t>
      </w:r>
      <w:r>
        <w:t>s</w:t>
      </w:r>
      <w:r w:rsidRPr="00F76642">
        <w:t xml:space="preserve"> 25 and 65</w:t>
      </w:r>
      <w:r>
        <w:t xml:space="preserve"> are large</w:t>
      </w:r>
      <w:bookmarkEnd w:id="23"/>
    </w:p>
    <w:p w:rsidR="00473421" w:rsidRPr="009C2969" w:rsidRDefault="00473421" w:rsidP="00F76198">
      <w:pPr>
        <w:pStyle w:val="FigureSub-title"/>
        <w:spacing w:after="0"/>
      </w:pPr>
      <w:r>
        <w:t>Males, a</w:t>
      </w:r>
      <w:r w:rsidRPr="009C2969">
        <w:t>round 2011, in years</w:t>
      </w:r>
    </w:p>
    <w:p w:rsidR="00473421" w:rsidRPr="008F10E2" w:rsidRDefault="00473421" w:rsidP="0075163D">
      <w:pPr>
        <w:jc w:val="center"/>
        <w:rPr>
          <w:b/>
        </w:rPr>
      </w:pPr>
      <w:r w:rsidRPr="006A59BB">
        <w:rPr>
          <w:noProof/>
          <w:lang w:val="es-ES" w:eastAsia="es-ES"/>
        </w:rPr>
        <w:drawing>
          <wp:inline distT="0" distB="0" distL="0" distR="0" wp14:anchorId="0DE777AD" wp14:editId="03E6E452">
            <wp:extent cx="4773513" cy="20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2127" cy="2092730"/>
                    </a:xfrm>
                    <a:prstGeom prst="rect">
                      <a:avLst/>
                    </a:prstGeom>
                    <a:noFill/>
                    <a:ln>
                      <a:noFill/>
                    </a:ln>
                  </pic:spPr>
                </pic:pic>
              </a:graphicData>
            </a:graphic>
          </wp:inline>
        </w:drawing>
      </w:r>
    </w:p>
    <w:p w:rsidR="00473421" w:rsidRPr="00F21B2D" w:rsidRDefault="00473421" w:rsidP="007804DF">
      <w:pPr>
        <w:pStyle w:val="FigureNote"/>
        <w:spacing w:before="0" w:after="40"/>
      </w:pPr>
      <w:r w:rsidRPr="00EC0563">
        <w:rPr>
          <w:i/>
        </w:rPr>
        <w:t>Note</w:t>
      </w:r>
      <w:r w:rsidRPr="00F21B2D">
        <w:t>: New collected data – although from 2011 – improve on currently available data by better accounting for mortality difference</w:t>
      </w:r>
      <w:r>
        <w:t>s</w:t>
      </w:r>
      <w:r w:rsidRPr="00F21B2D">
        <w:t xml:space="preserve"> across educational groups at older ages</w:t>
      </w:r>
      <w:r>
        <w:t xml:space="preserve"> (see endnote </w:t>
      </w:r>
      <w:r w:rsidR="009E6550">
        <w:t>3</w:t>
      </w:r>
      <w:r>
        <w:t>)</w:t>
      </w:r>
      <w:r w:rsidRPr="00F21B2D">
        <w:t>.</w:t>
      </w:r>
    </w:p>
    <w:p w:rsidR="00473421" w:rsidRDefault="00473421" w:rsidP="007804DF">
      <w:pPr>
        <w:pStyle w:val="SourceDescription"/>
        <w:spacing w:after="120"/>
      </w:pPr>
      <w:r w:rsidRPr="00EC0563">
        <w:rPr>
          <w:i/>
        </w:rPr>
        <w:t>Source</w:t>
      </w:r>
      <w:r w:rsidRPr="00F21B2D">
        <w:t>:</w:t>
      </w:r>
      <w:r w:rsidRPr="008B0CF1">
        <w:t xml:space="preserve"> OECD data and calculations</w:t>
      </w:r>
      <w:r>
        <w:t>.</w:t>
      </w:r>
    </w:p>
    <w:p w:rsidR="00117011" w:rsidRDefault="00F76198" w:rsidP="00F76198">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41"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10.1787/888933566077</w:t>
      </w:r>
    </w:p>
    <w:p w:rsidR="00473421" w:rsidRDefault="00473421" w:rsidP="0075163D">
      <w:pPr>
        <w:pStyle w:val="Textodecuerpo"/>
      </w:pPr>
      <w:r>
        <w:lastRenderedPageBreak/>
        <w:t>I</w:t>
      </w:r>
      <w:r w:rsidRPr="00B1271E">
        <w:t xml:space="preserve">n emerging </w:t>
      </w:r>
      <w:r w:rsidRPr="0015579A">
        <w:t>economies</w:t>
      </w:r>
      <w:r>
        <w:t xml:space="preserve"> too</w:t>
      </w:r>
      <w:r w:rsidRPr="00B1271E">
        <w:t xml:space="preserve">, </w:t>
      </w:r>
      <w:r>
        <w:t xml:space="preserve">highly </w:t>
      </w:r>
      <w:r w:rsidRPr="00B1271E">
        <w:t>educat</w:t>
      </w:r>
      <w:r>
        <w:t>ed individuals have greater chances of living longer (e.g. Mondal and Shitan, 2013</w:t>
      </w:r>
      <w:r w:rsidRPr="00B510AD">
        <w:t xml:space="preserve">). </w:t>
      </w:r>
      <w:r>
        <w:t>Evidence from</w:t>
      </w:r>
      <w:r w:rsidRPr="00B510AD">
        <w:t xml:space="preserve"> Brazil shows that regions with higher illiteracy rates have lower average life expectancy (Messias, 2003). </w:t>
      </w:r>
      <w:r>
        <w:t>Moreover, inequalities in education tend to be larger than in OECD countries. In m</w:t>
      </w:r>
      <w:r w:rsidRPr="00596963">
        <w:t xml:space="preserve">ost of the </w:t>
      </w:r>
      <w:r>
        <w:t xml:space="preserve">large </w:t>
      </w:r>
      <w:r w:rsidRPr="00596963">
        <w:t xml:space="preserve">emerging economies primary school enrolment </w:t>
      </w:r>
      <w:r>
        <w:t>is close to universal</w:t>
      </w:r>
      <w:r w:rsidRPr="00596963">
        <w:t>,</w:t>
      </w:r>
      <w:r>
        <w:t xml:space="preserve"> but fewer students </w:t>
      </w:r>
      <w:r w:rsidRPr="00596963">
        <w:t>finish secondary or tertiary education compared to OECD countries.</w:t>
      </w:r>
      <w:r>
        <w:t xml:space="preserve"> These inequalities are likely to affect all phases of life as well as future generations; h</w:t>
      </w:r>
      <w:r w:rsidRPr="00F1178B">
        <w:t>igh parental education</w:t>
      </w:r>
      <w:r>
        <w:t xml:space="preserve"> in China</w:t>
      </w:r>
      <w:r w:rsidRPr="00F1178B">
        <w:t xml:space="preserve">, </w:t>
      </w:r>
      <w:r>
        <w:t xml:space="preserve">for example, </w:t>
      </w:r>
      <w:r w:rsidRPr="00F1178B">
        <w:t>especially mother’s</w:t>
      </w:r>
      <w:r w:rsidRPr="00F1178B" w:rsidDel="00EC26D0">
        <w:t xml:space="preserve"> </w:t>
      </w:r>
      <w:r w:rsidRPr="00F1178B">
        <w:t xml:space="preserve">education, </w:t>
      </w:r>
      <w:r>
        <w:t xml:space="preserve">is found to improve </w:t>
      </w:r>
      <w:r w:rsidRPr="00F1178B">
        <w:t>children’s health (Chen and Li, 2008).</w:t>
      </w:r>
    </w:p>
    <w:p w:rsidR="00473421" w:rsidRPr="00B510AD" w:rsidRDefault="00473421" w:rsidP="0075163D">
      <w:pPr>
        <w:pStyle w:val="Textodecuerpo"/>
      </w:pPr>
      <w:r w:rsidRPr="00B510AD">
        <w:t>In China</w:t>
      </w:r>
      <w:r>
        <w:t xml:space="preserve"> and Indonesia</w:t>
      </w:r>
      <w:r w:rsidRPr="00B510AD">
        <w:t>, being well educated, wealthier, employed or living in an urban area is associated with better health (Chapter</w:t>
      </w:r>
      <w:r>
        <w:t> </w:t>
      </w:r>
      <w:r w:rsidRPr="00B510AD">
        <w:t xml:space="preserve">2). New OECD analysis </w:t>
      </w:r>
      <w:r>
        <w:t xml:space="preserve">finds that a higher socio-economic status is more strongly associated with better health in China and Indonesia than in OECD </w:t>
      </w:r>
      <w:r w:rsidRPr="00FF19B6">
        <w:t xml:space="preserve">countries. For women, health gaps between </w:t>
      </w:r>
      <w:r>
        <w:t xml:space="preserve">the </w:t>
      </w:r>
      <w:r w:rsidRPr="00FF19B6">
        <w:t>high</w:t>
      </w:r>
      <w:r>
        <w:t>-</w:t>
      </w:r>
      <w:r w:rsidRPr="00FF19B6">
        <w:t xml:space="preserve"> and low</w:t>
      </w:r>
      <w:r>
        <w:t>-</w:t>
      </w:r>
      <w:r w:rsidRPr="00FF19B6">
        <w:t>educated are the largest in Indonesia, where high-educated women are, all else equal on average, about 1</w:t>
      </w:r>
      <w:r>
        <w:t>4 p</w:t>
      </w:r>
      <w:r w:rsidRPr="00FF19B6">
        <w:t>ercentiles higher in the health distribution than low</w:t>
      </w:r>
      <w:r>
        <w:t>-</w:t>
      </w:r>
      <w:r w:rsidRPr="00FF19B6">
        <w:t>educated</w:t>
      </w:r>
      <w:r w:rsidRPr="00AB1DDF">
        <w:t xml:space="preserve"> women</w:t>
      </w:r>
      <w:r>
        <w:t>. This</w:t>
      </w:r>
      <w:r w:rsidRPr="00F05871">
        <w:t xml:space="preserve"> gap is </w:t>
      </w:r>
      <w:r>
        <w:t>about 12 percentiles</w:t>
      </w:r>
      <w:r w:rsidRPr="00F05871">
        <w:t xml:space="preserve"> in </w:t>
      </w:r>
      <w:r>
        <w:t>China and 9 percentiles in OECD</w:t>
      </w:r>
      <w:r w:rsidRPr="00F05871">
        <w:t xml:space="preserve"> countries</w:t>
      </w:r>
      <w:r>
        <w:t>.</w:t>
      </w:r>
      <w:r w:rsidRPr="00AB1DDF">
        <w:t xml:space="preserve"> </w:t>
      </w:r>
      <w:r>
        <w:t xml:space="preserve">Larger wealth </w:t>
      </w:r>
      <w:r w:rsidRPr="00B510AD">
        <w:t xml:space="preserve">is </w:t>
      </w:r>
      <w:r>
        <w:t xml:space="preserve">more strongly </w:t>
      </w:r>
      <w:r w:rsidRPr="00B510AD">
        <w:t xml:space="preserve">associated with </w:t>
      </w:r>
      <w:r>
        <w:t>better</w:t>
      </w:r>
      <w:r w:rsidRPr="00B510AD">
        <w:t xml:space="preserve"> health</w:t>
      </w:r>
      <w:r>
        <w:t xml:space="preserve"> </w:t>
      </w:r>
      <w:r w:rsidRPr="00B510AD">
        <w:t xml:space="preserve">in China than in </w:t>
      </w:r>
      <w:r>
        <w:t xml:space="preserve">both Indonesia and </w:t>
      </w:r>
      <w:r w:rsidRPr="00B510AD">
        <w:t>Europe</w:t>
      </w:r>
      <w:r>
        <w:t xml:space="preserve">, </w:t>
      </w:r>
      <w:r w:rsidRPr="00F1178B">
        <w:t>especially</w:t>
      </w:r>
      <w:r>
        <w:t xml:space="preserve"> for men</w:t>
      </w:r>
      <w:r w:rsidRPr="00B510AD">
        <w:t xml:space="preserve">. </w:t>
      </w:r>
      <w:r>
        <w:t>Moreover, disadvantages in the h</w:t>
      </w:r>
      <w:r w:rsidRPr="00B510AD">
        <w:t xml:space="preserve">ealth </w:t>
      </w:r>
      <w:r>
        <w:t xml:space="preserve">status of rural versus urban residents </w:t>
      </w:r>
      <w:r w:rsidRPr="00B510AD">
        <w:t xml:space="preserve">are much larger in China </w:t>
      </w:r>
      <w:r>
        <w:t xml:space="preserve">and Indonesia </w:t>
      </w:r>
      <w:r w:rsidRPr="00B510AD">
        <w:t xml:space="preserve">than in </w:t>
      </w:r>
      <w:r>
        <w:t>the OECD</w:t>
      </w:r>
      <w:r w:rsidRPr="00B510AD">
        <w:t>, even after accounting for differen</w:t>
      </w:r>
      <w:r>
        <w:t>ces in</w:t>
      </w:r>
      <w:r w:rsidRPr="00B510AD">
        <w:t xml:space="preserve"> population characteristics.</w:t>
      </w:r>
    </w:p>
    <w:p w:rsidR="00473421" w:rsidRDefault="00473421" w:rsidP="0075163D">
      <w:pPr>
        <w:pStyle w:val="Textodecuerpo"/>
      </w:pPr>
      <w:r w:rsidRPr="00756FBB">
        <w:t xml:space="preserve"> </w:t>
      </w:r>
      <w:r>
        <w:t>I</w:t>
      </w:r>
      <w:r w:rsidRPr="003B504A">
        <w:t>n most emerging economies</w:t>
      </w:r>
      <w:r>
        <w:t>, h</w:t>
      </w:r>
      <w:r w:rsidRPr="003B504A">
        <w:t>ealth care is still limited in scope and effectiveness.</w:t>
      </w:r>
      <w:r>
        <w:t xml:space="preserve"> There are fewer than two doctors per 1 000 inhabitants in all large non-OECD emerging economies, except </w:t>
      </w:r>
      <w:r w:rsidRPr="00A655F8">
        <w:t>the Russian Federation, compared to 3.3</w:t>
      </w:r>
      <w:r>
        <w:t> </w:t>
      </w:r>
      <w:r w:rsidRPr="00A655F8">
        <w:t>doctors on average in OECD countries (OECD, 2015a).</w:t>
      </w:r>
      <w:r>
        <w:t xml:space="preserve"> </w:t>
      </w:r>
      <w:r w:rsidRPr="003B504A">
        <w:t xml:space="preserve">Lack of insurance and financial constraints limit the use of prevention, detection and health care options and result in worse health, especially among older people. </w:t>
      </w:r>
      <w:r>
        <w:t>A</w:t>
      </w:r>
      <w:r w:rsidRPr="003B504A">
        <w:t xml:space="preserve"> large share of informal employment means that </w:t>
      </w:r>
      <w:r>
        <w:t>many people</w:t>
      </w:r>
      <w:r w:rsidRPr="003B504A">
        <w:t xml:space="preserve"> are excluded from </w:t>
      </w:r>
      <w:r>
        <w:t xml:space="preserve">formal </w:t>
      </w:r>
      <w:r w:rsidRPr="003B504A">
        <w:t xml:space="preserve">social protection. </w:t>
      </w:r>
      <w:r>
        <w:t>In</w:t>
      </w:r>
      <w:r w:rsidRPr="00B1271E">
        <w:t xml:space="preserve"> China, until 2003, 80% of people living in rural areas had no health insurance. </w:t>
      </w:r>
      <w:r>
        <w:t>More recently</w:t>
      </w:r>
      <w:r w:rsidRPr="00B1271E">
        <w:t xml:space="preserve">, </w:t>
      </w:r>
      <w:r>
        <w:t xml:space="preserve">however, </w:t>
      </w:r>
      <w:r w:rsidRPr="00B1271E">
        <w:t>China has been expand</w:t>
      </w:r>
      <w:r>
        <w:t>ing</w:t>
      </w:r>
      <w:r w:rsidRPr="00B1271E">
        <w:t xml:space="preserve"> its welfare system and universal health insurance coverage was virtually achieved in 2011 (Yu, 2015). </w:t>
      </w:r>
      <w:r w:rsidRPr="00A468ED">
        <w:t xml:space="preserve">Similarly, Indonesia started the </w:t>
      </w:r>
      <w:r>
        <w:t xml:space="preserve">extension of </w:t>
      </w:r>
      <w:r w:rsidRPr="00A468ED">
        <w:t>health</w:t>
      </w:r>
      <w:r>
        <w:t xml:space="preserve"> </w:t>
      </w:r>
      <w:r w:rsidRPr="00A468ED">
        <w:t xml:space="preserve">care </w:t>
      </w:r>
      <w:r>
        <w:t xml:space="preserve">provision </w:t>
      </w:r>
      <w:r w:rsidRPr="00A468ED">
        <w:t>in 2014</w:t>
      </w:r>
      <w:r>
        <w:t>,</w:t>
      </w:r>
      <w:r w:rsidRPr="00A468ED">
        <w:t xml:space="preserve"> </w:t>
      </w:r>
      <w:r>
        <w:t xml:space="preserve">with the aim of </w:t>
      </w:r>
      <w:r w:rsidRPr="00A468ED">
        <w:t>cover</w:t>
      </w:r>
      <w:r>
        <w:t>ing</w:t>
      </w:r>
      <w:r w:rsidRPr="00A468ED">
        <w:t xml:space="preserve"> the entire population by 2019</w:t>
      </w:r>
      <w:r>
        <w:t xml:space="preserve">, but progress has been </w:t>
      </w:r>
      <w:r w:rsidRPr="00064867">
        <w:t>uneven (</w:t>
      </w:r>
      <w:r>
        <w:t>Pisani et al., 2017</w:t>
      </w:r>
      <w:r w:rsidRPr="00064867">
        <w:t>). While</w:t>
      </w:r>
      <w:r w:rsidRPr="00470C9A">
        <w:t xml:space="preserve"> health care expansion</w:t>
      </w:r>
      <w:r>
        <w:t>s</w:t>
      </w:r>
      <w:r w:rsidRPr="00470C9A">
        <w:t xml:space="preserve"> in China and Indonesia are important to address entrenched health inequalities it is too early to assess </w:t>
      </w:r>
      <w:r>
        <w:t>their</w:t>
      </w:r>
      <w:r w:rsidRPr="00470C9A">
        <w:t xml:space="preserve"> actual scope and effectiveness.</w:t>
      </w:r>
    </w:p>
    <w:p w:rsidR="00473421" w:rsidRPr="004C7AFB" w:rsidRDefault="00473421" w:rsidP="0075163D">
      <w:pPr>
        <w:pStyle w:val="Ttulo3"/>
      </w:pPr>
      <w:r>
        <w:t>Are the additional years lived in good or bad health?</w:t>
      </w:r>
    </w:p>
    <w:p w:rsidR="00473421" w:rsidRDefault="00473421" w:rsidP="0075163D">
      <w:pPr>
        <w:pStyle w:val="Textodecuerpo"/>
      </w:pPr>
      <w:r w:rsidRPr="00C52089">
        <w:t xml:space="preserve">A key question is whether </w:t>
      </w:r>
      <w:r>
        <w:t xml:space="preserve">and which people live </w:t>
      </w:r>
      <w:r w:rsidRPr="00C52089">
        <w:t>the additional life</w:t>
      </w:r>
      <w:r>
        <w:t xml:space="preserve"> </w:t>
      </w:r>
      <w:r w:rsidRPr="00C52089">
        <w:t>years gained over past decades in good or bad health</w:t>
      </w:r>
      <w:r>
        <w:t>.</w:t>
      </w:r>
      <w:r w:rsidRPr="00C52089">
        <w:t xml:space="preserve"> Between 2000 and 2015, life expectancy at birth</w:t>
      </w:r>
      <w:r>
        <w:t xml:space="preserve"> in OECD countries</w:t>
      </w:r>
      <w:r w:rsidRPr="00C52089">
        <w:t xml:space="preserve"> increased by 3.</w:t>
      </w:r>
      <w:r>
        <w:t>4 </w:t>
      </w:r>
      <w:r w:rsidRPr="00C52089">
        <w:t>years</w:t>
      </w:r>
      <w:r>
        <w:t>,</w:t>
      </w:r>
      <w:r w:rsidRPr="00C52089">
        <w:t xml:space="preserve"> on average, and </w:t>
      </w:r>
      <w:r>
        <w:t xml:space="preserve">92% of these additional years have been </w:t>
      </w:r>
      <w:r w:rsidRPr="00C52089">
        <w:t>spent in good health</w:t>
      </w:r>
      <w:r>
        <w:t>,</w:t>
      </w:r>
      <w:r w:rsidRPr="005B7A3D">
        <w:t xml:space="preserve"> </w:t>
      </w:r>
      <w:r>
        <w:t xml:space="preserve">i.e. </w:t>
      </w:r>
      <w:r w:rsidRPr="00C52089">
        <w:t>free of disability</w:t>
      </w:r>
      <w:r>
        <w:t>. This means that the share of healthy years in total life years has been stable.</w:t>
      </w:r>
      <w:r w:rsidRPr="00C52089">
        <w:t xml:space="preserve"> </w:t>
      </w:r>
      <w:r>
        <w:t xml:space="preserve">At age 50, however, the picture is a bit different: </w:t>
      </w:r>
      <w:r w:rsidRPr="00C52089">
        <w:t xml:space="preserve">40% </w:t>
      </w:r>
      <w:r>
        <w:t xml:space="preserve">of the gains in male life expectancy </w:t>
      </w:r>
      <w:r w:rsidRPr="00C52089">
        <w:t>at age</w:t>
      </w:r>
      <w:r>
        <w:t> </w:t>
      </w:r>
      <w:r w:rsidRPr="00C52089">
        <w:t xml:space="preserve">50 </w:t>
      </w:r>
      <w:r>
        <w:t>have been</w:t>
      </w:r>
      <w:r w:rsidRPr="00C52089">
        <w:t xml:space="preserve"> in good health</w:t>
      </w:r>
      <w:r>
        <w:t xml:space="preserve">. For women, the share is even lower at </w:t>
      </w:r>
      <w:r w:rsidRPr="00C52089">
        <w:t xml:space="preserve">30%. </w:t>
      </w:r>
      <w:r w:rsidRPr="00E9538C">
        <w:t>Overall, this implies that the number of healthy life years at age 50 has increased over time</w:t>
      </w:r>
      <w:r>
        <w:t>, but</w:t>
      </w:r>
      <w:r w:rsidRPr="00E9538C">
        <w:t xml:space="preserve"> that the ratio of healthy life years over remaining life expectancy has fallen slightly for </w:t>
      </w:r>
      <w:r>
        <w:t xml:space="preserve">both men and </w:t>
      </w:r>
      <w:r w:rsidRPr="00E9538C">
        <w:t>women over the past decade.</w:t>
      </w:r>
    </w:p>
    <w:p w:rsidR="00473421" w:rsidRPr="00BD035D" w:rsidRDefault="00473421" w:rsidP="0075163D">
      <w:pPr>
        <w:pStyle w:val="Textodecuerpo"/>
      </w:pPr>
      <w:r w:rsidRPr="00BD035D">
        <w:t>New OECD analysis examines the links between education levels and disabilities for men and women above</w:t>
      </w:r>
      <w:r>
        <w:t> </w:t>
      </w:r>
      <w:r w:rsidRPr="00BD035D">
        <w:t>50.</w:t>
      </w:r>
      <w:r w:rsidRPr="00BD035D">
        <w:rPr>
          <w:rStyle w:val="Refdenotaalfinal"/>
        </w:rPr>
        <w:endnoteReference w:id="4"/>
      </w:r>
      <w:r w:rsidRPr="00BD035D">
        <w:t xml:space="preserve"> It covers 12</w:t>
      </w:r>
      <w:r>
        <w:t> </w:t>
      </w:r>
      <w:r w:rsidRPr="00BD035D">
        <w:t xml:space="preserve">European countries, China, Israel, Japan and the United States. Disability inequalities by gender and level of education are similar in most </w:t>
      </w:r>
      <w:r w:rsidRPr="00BD035D">
        <w:lastRenderedPageBreak/>
        <w:t>countries (Chapter</w:t>
      </w:r>
      <w:r>
        <w:t> </w:t>
      </w:r>
      <w:r w:rsidRPr="00BD035D">
        <w:t xml:space="preserve">2). Women more often report disabilities in both </w:t>
      </w:r>
      <w:r>
        <w:t>the </w:t>
      </w:r>
      <w:r w:rsidRPr="00BD035D">
        <w:t>50-64 and 65+</w:t>
      </w:r>
      <w:r>
        <w:t> </w:t>
      </w:r>
      <w:r w:rsidRPr="00BD035D">
        <w:t>age groups (Figure</w:t>
      </w:r>
      <w:r>
        <w:t> </w:t>
      </w:r>
      <w:r w:rsidRPr="00BD035D">
        <w:t>1.3), because they more often have non-fatal but disabling diseases, such as arthritis or depression. Men, in turn, more frequently suffer from fatal diseases, such as lung cancer or heart attacks (</w:t>
      </w:r>
      <w:r w:rsidRPr="00823149">
        <w:t>Espelt et al., 2010; Sarkeala et al., 2011).</w:t>
      </w:r>
      <w:r w:rsidRPr="00BD035D">
        <w:t xml:space="preserve"> Unsurprisingly, disability increases with age: for example, about 8% of men aged between</w:t>
      </w:r>
      <w:r>
        <w:t> </w:t>
      </w:r>
      <w:r w:rsidRPr="00BD035D">
        <w:t>50 and</w:t>
      </w:r>
      <w:r>
        <w:t> </w:t>
      </w:r>
      <w:r w:rsidRPr="00BD035D">
        <w:t>64 years report at least one ADL (</w:t>
      </w:r>
      <w:r>
        <w:t>a</w:t>
      </w:r>
      <w:r w:rsidRPr="00BD035D">
        <w:t xml:space="preserve">ctivity of </w:t>
      </w:r>
      <w:r>
        <w:t>d</w:t>
      </w:r>
      <w:r w:rsidRPr="00BD035D">
        <w:t xml:space="preserve">aily </w:t>
      </w:r>
      <w:r>
        <w:t>l</w:t>
      </w:r>
      <w:r w:rsidRPr="00BD035D">
        <w:t>iving) restriction compared t</w:t>
      </w:r>
      <w:r>
        <w:t>o 17% for those older than 65.</w:t>
      </w:r>
    </w:p>
    <w:p w:rsidR="00473421" w:rsidRDefault="00473421" w:rsidP="0075163D">
      <w:pPr>
        <w:pStyle w:val="FigureTitle"/>
      </w:pPr>
      <w:bookmarkStart w:id="24" w:name="_Toc493088636"/>
      <w:r w:rsidRPr="009901EC">
        <w:t xml:space="preserve">Figure </w:t>
      </w:r>
      <w:r w:rsidRPr="009901EC">
        <w:fldChar w:fldCharType="begin"/>
      </w:r>
      <w:r w:rsidRPr="009901EC">
        <w:instrText xml:space="preserve"> SEQ Figure \* ARABIC </w:instrText>
      </w:r>
      <w:r w:rsidRPr="009901EC">
        <w:fldChar w:fldCharType="separate"/>
      </w:r>
      <w:r w:rsidR="00235C4A">
        <w:rPr>
          <w:noProof/>
        </w:rPr>
        <w:t>1</w:t>
      </w:r>
      <w:r w:rsidRPr="009901EC">
        <w:fldChar w:fldCharType="end"/>
      </w:r>
      <w:r>
        <w:t>.3.</w:t>
      </w:r>
      <w:r w:rsidRPr="009901EC">
        <w:t xml:space="preserve"> </w:t>
      </w:r>
      <w:r>
        <w:t>Disability increases with age</w:t>
      </w:r>
      <w:bookmarkEnd w:id="24"/>
    </w:p>
    <w:p w:rsidR="00473421" w:rsidRPr="00FF553C" w:rsidRDefault="00473421" w:rsidP="0075163D">
      <w:pPr>
        <w:pStyle w:val="FigureSub-title"/>
        <w:spacing w:after="240"/>
      </w:pPr>
      <w:r w:rsidRPr="005961C1">
        <w:t>Disability rates for individuals aged 50-64 and 65+</w:t>
      </w:r>
      <w:r>
        <w:t>, a</w:t>
      </w:r>
      <w:r w:rsidRPr="00FF553C">
        <w:t>verage across 16 countries, 2013/14 or nearest year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98"/>
      </w:tblGrid>
      <w:tr w:rsidR="00473421" w:rsidRPr="008812FC" w:rsidTr="0075163D">
        <w:tc>
          <w:tcPr>
            <w:tcW w:w="4836" w:type="dxa"/>
          </w:tcPr>
          <w:p w:rsidR="00473421" w:rsidRPr="003A18B5" w:rsidRDefault="00473421" w:rsidP="0075163D">
            <w:pPr>
              <w:pStyle w:val="FigureSub-title"/>
              <w:rPr>
                <w:noProof/>
                <w:lang w:eastAsia="en-GB"/>
              </w:rPr>
            </w:pPr>
            <w:r w:rsidRPr="003A18B5">
              <w:rPr>
                <w:noProof/>
                <w:lang w:eastAsia="en-GB"/>
              </w:rPr>
              <w:t xml:space="preserve">Panel A. </w:t>
            </w:r>
            <w:r w:rsidRPr="00F63ABA">
              <w:rPr>
                <w:noProof/>
                <w:lang w:eastAsia="en-GB"/>
              </w:rPr>
              <w:t>People aged 50-54 in 2014</w:t>
            </w:r>
          </w:p>
        </w:tc>
        <w:tc>
          <w:tcPr>
            <w:tcW w:w="4598" w:type="dxa"/>
          </w:tcPr>
          <w:p w:rsidR="00473421" w:rsidRPr="003A18B5" w:rsidRDefault="00473421" w:rsidP="0075163D">
            <w:pPr>
              <w:pStyle w:val="FigureSub-title"/>
              <w:rPr>
                <w:noProof/>
                <w:lang w:eastAsia="en-GB"/>
              </w:rPr>
            </w:pPr>
            <w:r w:rsidRPr="003A18B5">
              <w:rPr>
                <w:noProof/>
                <w:lang w:eastAsia="en-GB"/>
              </w:rPr>
              <w:t xml:space="preserve">Panel B. </w:t>
            </w:r>
            <w:r w:rsidRPr="00F63ABA">
              <w:rPr>
                <w:noProof/>
                <w:lang w:eastAsia="en-GB"/>
              </w:rPr>
              <w:t>People aged 65+ in 2014</w:t>
            </w:r>
          </w:p>
        </w:tc>
      </w:tr>
      <w:tr w:rsidR="00473421" w:rsidRPr="001D4D16" w:rsidTr="0075163D">
        <w:trPr>
          <w:trHeight w:val="3542"/>
        </w:trPr>
        <w:tc>
          <w:tcPr>
            <w:tcW w:w="4836" w:type="dxa"/>
          </w:tcPr>
          <w:p w:rsidR="00473421" w:rsidRPr="001D4D16" w:rsidRDefault="007804DF" w:rsidP="007804DF">
            <w:pPr>
              <w:spacing w:before="100" w:beforeAutospacing="1" w:after="100" w:afterAutospacing="1" w:line="360" w:lineRule="auto"/>
              <w:jc w:val="center"/>
              <w:rPr>
                <w:rFonts w:ascii="Arial" w:hAnsi="Arial" w:cs="Arial"/>
                <w:b/>
                <w:sz w:val="18"/>
                <w:szCs w:val="18"/>
                <w:lang w:eastAsia="fr-FR"/>
              </w:rPr>
            </w:pPr>
            <w:r>
              <w:rPr>
                <w:noProof/>
                <w:lang w:val="es-ES" w:eastAsia="es-ES"/>
              </w:rPr>
              <w:drawing>
                <wp:inline distT="0" distB="0" distL="0" distR="0" wp14:anchorId="4BD1C14E" wp14:editId="48F1AAEC">
                  <wp:extent cx="2270760" cy="218095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0760" cy="2180956"/>
                          </a:xfrm>
                          <a:prstGeom prst="rect">
                            <a:avLst/>
                          </a:prstGeom>
                          <a:noFill/>
                          <a:ln>
                            <a:noFill/>
                          </a:ln>
                        </pic:spPr>
                      </pic:pic>
                    </a:graphicData>
                  </a:graphic>
                </wp:inline>
              </w:drawing>
            </w:r>
          </w:p>
        </w:tc>
        <w:tc>
          <w:tcPr>
            <w:tcW w:w="4598" w:type="dxa"/>
          </w:tcPr>
          <w:p w:rsidR="00473421" w:rsidRPr="001D4D16" w:rsidRDefault="007804DF" w:rsidP="007804DF">
            <w:pPr>
              <w:spacing w:before="100" w:beforeAutospacing="1" w:after="100" w:afterAutospacing="1" w:line="360" w:lineRule="auto"/>
              <w:jc w:val="center"/>
              <w:rPr>
                <w:rFonts w:ascii="Arial" w:hAnsi="Arial" w:cs="Arial"/>
                <w:b/>
                <w:sz w:val="18"/>
                <w:szCs w:val="18"/>
                <w:lang w:eastAsia="fr-FR"/>
              </w:rPr>
            </w:pPr>
            <w:r>
              <w:rPr>
                <w:noProof/>
                <w:lang w:val="es-ES" w:eastAsia="es-ES"/>
              </w:rPr>
              <w:drawing>
                <wp:inline distT="0" distB="0" distL="0" distR="0" wp14:anchorId="7A36F48D" wp14:editId="2950B6BE">
                  <wp:extent cx="2270760" cy="217454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0760" cy="2174541"/>
                          </a:xfrm>
                          <a:prstGeom prst="rect">
                            <a:avLst/>
                          </a:prstGeom>
                          <a:noFill/>
                          <a:ln>
                            <a:noFill/>
                          </a:ln>
                        </pic:spPr>
                      </pic:pic>
                    </a:graphicData>
                  </a:graphic>
                </wp:inline>
              </w:drawing>
            </w:r>
          </w:p>
        </w:tc>
      </w:tr>
    </w:tbl>
    <w:p w:rsidR="00473421" w:rsidRDefault="00473421" w:rsidP="0075163D">
      <w:pPr>
        <w:pStyle w:val="FigureNote"/>
        <w:spacing w:before="120"/>
      </w:pPr>
      <w:r w:rsidRPr="00771BD0">
        <w:rPr>
          <w:i/>
          <w:lang w:eastAsia="fr-FR"/>
        </w:rPr>
        <w:t>Note</w:t>
      </w:r>
      <w:r w:rsidRPr="005A6B62">
        <w:rPr>
          <w:lang w:eastAsia="fr-FR"/>
        </w:rPr>
        <w:t xml:space="preserve">: </w:t>
      </w:r>
      <w:r>
        <w:rPr>
          <w:lang w:eastAsia="fr-FR"/>
        </w:rPr>
        <w:t>The chart shows a</w:t>
      </w:r>
      <w:r w:rsidRPr="009901EC">
        <w:t xml:space="preserve">ge-standardised </w:t>
      </w:r>
      <w:r>
        <w:t xml:space="preserve">rates. </w:t>
      </w:r>
      <w:r w:rsidRPr="005A6B62">
        <w:rPr>
          <w:lang w:eastAsia="fr-FR"/>
        </w:rPr>
        <w:t>Age</w:t>
      </w:r>
      <w:r>
        <w:rPr>
          <w:lang w:eastAsia="fr-FR"/>
        </w:rPr>
        <w:t xml:space="preserve"> </w:t>
      </w:r>
      <w:r w:rsidRPr="005A6B62">
        <w:rPr>
          <w:lang w:eastAsia="fr-FR"/>
        </w:rPr>
        <w:t xml:space="preserve">standardisation using the 2005 OECD population. Sampling weights are used. The survey of health and ageing in Japan does not include a question about work participation related to disability. </w:t>
      </w:r>
      <w:r w:rsidRPr="005A6B62">
        <w:t>Disability is measured using four self-reported indices: i)</w:t>
      </w:r>
      <w:r>
        <w:t> </w:t>
      </w:r>
      <w:r w:rsidRPr="005A6B62">
        <w:t xml:space="preserve">at least one limitation in </w:t>
      </w:r>
      <w:r>
        <w:t>a</w:t>
      </w:r>
      <w:r w:rsidRPr="005A6B62">
        <w:t xml:space="preserve">ctivity of </w:t>
      </w:r>
      <w:r>
        <w:t>d</w:t>
      </w:r>
      <w:r w:rsidRPr="005A6B62">
        <w:t xml:space="preserve">aily </w:t>
      </w:r>
      <w:r>
        <w:t>l</w:t>
      </w:r>
      <w:r w:rsidRPr="005A6B62">
        <w:t>iving (ADL), ii)</w:t>
      </w:r>
      <w:r>
        <w:t> </w:t>
      </w:r>
      <w:r w:rsidRPr="005A6B62">
        <w:t xml:space="preserve">at least one limitation restriction in </w:t>
      </w:r>
      <w:r>
        <w:t>i</w:t>
      </w:r>
      <w:r w:rsidRPr="005A6B62">
        <w:t xml:space="preserve">nstrumental </w:t>
      </w:r>
      <w:r>
        <w:t>a</w:t>
      </w:r>
      <w:r w:rsidRPr="005A6B62">
        <w:t xml:space="preserve">ctivity of </w:t>
      </w:r>
      <w:r>
        <w:t>d</w:t>
      </w:r>
      <w:r w:rsidRPr="005A6B62">
        <w:t xml:space="preserve">aily </w:t>
      </w:r>
      <w:r>
        <w:t>l</w:t>
      </w:r>
      <w:r w:rsidRPr="005A6B62">
        <w:t>iving (IADL), iii)</w:t>
      </w:r>
      <w:r>
        <w:t> </w:t>
      </w:r>
      <w:r w:rsidRPr="005A6B62">
        <w:t>at least one functional limitation related to mobility, and iv)</w:t>
      </w:r>
      <w:r>
        <w:t> </w:t>
      </w:r>
      <w:r w:rsidRPr="005A6B62">
        <w:t>being limited in paid work because of a health problem</w:t>
      </w:r>
      <w:r>
        <w:t>.</w:t>
      </w:r>
    </w:p>
    <w:p w:rsidR="00473421" w:rsidRDefault="00473421" w:rsidP="00F76198">
      <w:pPr>
        <w:pStyle w:val="SourceDescription"/>
        <w:spacing w:after="120"/>
        <w:rPr>
          <w:lang w:eastAsia="fr-FR"/>
        </w:rPr>
      </w:pPr>
      <w:r w:rsidRPr="00771BD0">
        <w:rPr>
          <w:i/>
          <w:lang w:eastAsia="fr-FR"/>
        </w:rPr>
        <w:t>Source</w:t>
      </w:r>
      <w:r w:rsidRPr="005A6B62">
        <w:rPr>
          <w:lang w:eastAsia="fr-FR"/>
        </w:rPr>
        <w:t>: OECD estimates based on SHARE, ELSA, HRS, JSTAR, and CHARLS data.</w:t>
      </w:r>
    </w:p>
    <w:p w:rsidR="00117011" w:rsidRDefault="00F76198" w:rsidP="00F76198">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44"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10.1787/888933566096</w:t>
      </w:r>
    </w:p>
    <w:p w:rsidR="00473421" w:rsidRPr="00325D5E" w:rsidRDefault="00473421" w:rsidP="0075163D">
      <w:pPr>
        <w:pStyle w:val="Textodecuerpo"/>
      </w:pPr>
      <w:r>
        <w:rPr>
          <w:lang w:eastAsia="fr-FR"/>
        </w:rPr>
        <w:t>L</w:t>
      </w:r>
      <w:r w:rsidRPr="00325D5E">
        <w:t>ower educated individuals</w:t>
      </w:r>
      <w:r>
        <w:t>, both male and female,</w:t>
      </w:r>
      <w:r w:rsidRPr="00325D5E">
        <w:t xml:space="preserve"> </w:t>
      </w:r>
      <w:r>
        <w:t>are</w:t>
      </w:r>
      <w:r w:rsidRPr="00325D5E">
        <w:t xml:space="preserve"> more likely to have a </w:t>
      </w:r>
      <w:r w:rsidRPr="00823149">
        <w:t>disability (Figure</w:t>
      </w:r>
      <w:r>
        <w:t> </w:t>
      </w:r>
      <w:r w:rsidRPr="00823149">
        <w:t>1.4).</w:t>
      </w:r>
      <w:r w:rsidRPr="00325D5E">
        <w:t xml:space="preserve"> </w:t>
      </w:r>
      <w:r>
        <w:t>A</w:t>
      </w:r>
      <w:r w:rsidRPr="00325D5E">
        <w:t>bout 30% of males between 50 and 64</w:t>
      </w:r>
      <w:r>
        <w:t> </w:t>
      </w:r>
      <w:r w:rsidRPr="00325D5E">
        <w:t xml:space="preserve">years with low education declare being limited in paid work because of a health problem against </w:t>
      </w:r>
      <w:r>
        <w:t>only</w:t>
      </w:r>
      <w:r w:rsidRPr="00325D5E">
        <w:t xml:space="preserve"> 10% of those with high education.</w:t>
      </w:r>
      <w:r>
        <w:rPr>
          <w:rStyle w:val="Refdenotaalfinal"/>
        </w:rPr>
        <w:endnoteReference w:id="5"/>
      </w:r>
      <w:r w:rsidRPr="00325D5E">
        <w:t xml:space="preserve"> Disabling chronic diseases are </w:t>
      </w:r>
      <w:r>
        <w:t xml:space="preserve">also </w:t>
      </w:r>
      <w:r w:rsidRPr="00325D5E">
        <w:t>more frequent among people with lower education levels, due to lower incomes</w:t>
      </w:r>
      <w:r>
        <w:t>,</w:t>
      </w:r>
      <w:r w:rsidRPr="00325D5E">
        <w:t xml:space="preserve"> worse working and living conditions, behavioural risk factors (such as smoking, harmful alcohol consumption and less healthy nutrition habits), and less access to appropriate health care (OECD, 2016</w:t>
      </w:r>
      <w:r>
        <w:t>c</w:t>
      </w:r>
      <w:r w:rsidRPr="00325D5E">
        <w:t xml:space="preserve">; James et al., 2016). </w:t>
      </w:r>
      <w:r>
        <w:t>T</w:t>
      </w:r>
      <w:r w:rsidRPr="00325D5E">
        <w:t>h</w:t>
      </w:r>
      <w:r>
        <w:t>e education-health</w:t>
      </w:r>
      <w:r w:rsidRPr="00325D5E">
        <w:t xml:space="preserve"> gap</w:t>
      </w:r>
      <w:r>
        <w:t>,</w:t>
      </w:r>
      <w:r w:rsidRPr="00325D5E">
        <w:t xml:space="preserve"> </w:t>
      </w:r>
      <w:r>
        <w:t xml:space="preserve">while persisting at older ages </w:t>
      </w:r>
      <w:r w:rsidRPr="00325D5E">
        <w:t>narrows in the 65+</w:t>
      </w:r>
      <w:r>
        <w:t> </w:t>
      </w:r>
      <w:r w:rsidRPr="00325D5E">
        <w:t>age group</w:t>
      </w:r>
      <w:r>
        <w:t xml:space="preserve"> </w:t>
      </w:r>
      <w:r w:rsidRPr="00E21E82">
        <w:t>compared to middle-aged adults (see Chapter</w:t>
      </w:r>
      <w:r>
        <w:t> </w:t>
      </w:r>
      <w:r w:rsidRPr="009D76D4">
        <w:t xml:space="preserve">2). </w:t>
      </w:r>
      <w:r w:rsidRPr="009D76D4" w:rsidDel="00E9538C">
        <w:t xml:space="preserve">Moreover, in Indonesia </w:t>
      </w:r>
      <w:r w:rsidRPr="009D76D4">
        <w:t>h</w:t>
      </w:r>
      <w:r w:rsidRPr="009D76D4" w:rsidDel="00E9538C">
        <w:t xml:space="preserve">aving some education has been found to increase life expectancy, but also to </w:t>
      </w:r>
      <w:r>
        <w:t>increase</w:t>
      </w:r>
      <w:r w:rsidRPr="009D76D4" w:rsidDel="00E9538C">
        <w:t xml:space="preserve"> the expected years with major functional problems (Hidajat</w:t>
      </w:r>
      <w:r w:rsidRPr="009D76D4">
        <w:t xml:space="preserve"> et al., </w:t>
      </w:r>
      <w:r w:rsidRPr="009D76D4" w:rsidDel="00E9538C">
        <w:t>2007).</w:t>
      </w:r>
    </w:p>
    <w:p w:rsidR="00473421" w:rsidRDefault="00473421" w:rsidP="0075163D">
      <w:pPr>
        <w:pStyle w:val="FigureTitle"/>
      </w:pPr>
      <w:bookmarkStart w:id="25" w:name="_Toc493088637"/>
      <w:r w:rsidRPr="00325D5E">
        <w:lastRenderedPageBreak/>
        <w:t xml:space="preserve">Figure 1.4. </w:t>
      </w:r>
      <w:r>
        <w:t>Low-educated people are more exposed to disability risks</w:t>
      </w:r>
      <w:bookmarkEnd w:id="25"/>
    </w:p>
    <w:p w:rsidR="00473421" w:rsidRDefault="00473421" w:rsidP="0075163D">
      <w:pPr>
        <w:pStyle w:val="FigureSub-title"/>
      </w:pPr>
      <w:r w:rsidRPr="005961C1">
        <w:t>Predicted prevalence of disability among people aged 50-64 by gender</w:t>
      </w:r>
      <w:r>
        <w:t>,</w:t>
      </w:r>
      <w:r w:rsidRPr="005961C1" w:rsidDel="00FF553C">
        <w:t xml:space="preserve"> </w:t>
      </w:r>
      <w:r>
        <w:t>a</w:t>
      </w:r>
      <w:r w:rsidRPr="005961C1">
        <w:t>verage</w:t>
      </w:r>
      <w:r w:rsidRPr="00FF553C">
        <w:t xml:space="preserve"> across 16 countries, 2013/14 or nearest year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73421" w:rsidRPr="008812FC" w:rsidTr="0075163D">
        <w:tc>
          <w:tcPr>
            <w:tcW w:w="4621" w:type="dxa"/>
          </w:tcPr>
          <w:p w:rsidR="00473421" w:rsidRPr="003A18B5" w:rsidRDefault="00473421" w:rsidP="0075163D">
            <w:pPr>
              <w:pStyle w:val="FigureSub-title"/>
              <w:rPr>
                <w:noProof/>
                <w:lang w:eastAsia="en-GB"/>
              </w:rPr>
            </w:pPr>
            <w:r w:rsidRPr="003A18B5">
              <w:rPr>
                <w:noProof/>
                <w:lang w:eastAsia="en-GB"/>
              </w:rPr>
              <w:t>Panel A. Men</w:t>
            </w:r>
          </w:p>
        </w:tc>
        <w:tc>
          <w:tcPr>
            <w:tcW w:w="4621" w:type="dxa"/>
          </w:tcPr>
          <w:p w:rsidR="00473421" w:rsidRPr="003A18B5" w:rsidRDefault="00473421" w:rsidP="0075163D">
            <w:pPr>
              <w:pStyle w:val="FigureSub-title"/>
              <w:rPr>
                <w:noProof/>
                <w:lang w:eastAsia="en-GB"/>
              </w:rPr>
            </w:pPr>
            <w:r w:rsidRPr="003A18B5">
              <w:rPr>
                <w:noProof/>
                <w:lang w:eastAsia="en-GB"/>
              </w:rPr>
              <w:t>Panel B. Women</w:t>
            </w:r>
          </w:p>
        </w:tc>
      </w:tr>
      <w:tr w:rsidR="00473421" w:rsidRPr="001D4D16" w:rsidTr="0075163D">
        <w:tc>
          <w:tcPr>
            <w:tcW w:w="4621" w:type="dxa"/>
          </w:tcPr>
          <w:p w:rsidR="00473421" w:rsidRPr="001D4D16" w:rsidRDefault="004B59B2" w:rsidP="007804DF">
            <w:pPr>
              <w:spacing w:before="100" w:beforeAutospacing="1" w:after="100" w:afterAutospacing="1" w:line="360" w:lineRule="auto"/>
              <w:jc w:val="center"/>
              <w:rPr>
                <w:rFonts w:ascii="Arial" w:hAnsi="Arial" w:cs="Arial"/>
                <w:b/>
                <w:sz w:val="18"/>
                <w:szCs w:val="18"/>
                <w:lang w:eastAsia="fr-FR"/>
              </w:rPr>
            </w:pPr>
            <w:r>
              <w:rPr>
                <w:rFonts w:ascii="Arial" w:hAnsi="Arial" w:cs="Arial"/>
                <w:b/>
                <w:noProof/>
                <w:sz w:val="18"/>
                <w:szCs w:val="18"/>
                <w:lang w:val="es-ES" w:eastAsia="es-ES"/>
              </w:rPr>
              <w:drawing>
                <wp:inline distT="0" distB="0" distL="0" distR="0" wp14:anchorId="187F51B2" wp14:editId="676DD5C1">
                  <wp:extent cx="2327979" cy="21841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795" cy="2187695"/>
                          </a:xfrm>
                          <a:prstGeom prst="rect">
                            <a:avLst/>
                          </a:prstGeom>
                          <a:noFill/>
                          <a:ln>
                            <a:noFill/>
                          </a:ln>
                        </pic:spPr>
                      </pic:pic>
                    </a:graphicData>
                  </a:graphic>
                </wp:inline>
              </w:drawing>
            </w:r>
          </w:p>
        </w:tc>
        <w:tc>
          <w:tcPr>
            <w:tcW w:w="4621" w:type="dxa"/>
          </w:tcPr>
          <w:p w:rsidR="00473421" w:rsidRPr="001D4D16" w:rsidRDefault="004B59B2" w:rsidP="007804DF">
            <w:pPr>
              <w:spacing w:before="100" w:beforeAutospacing="1" w:after="100" w:afterAutospacing="1" w:line="360" w:lineRule="auto"/>
              <w:jc w:val="center"/>
              <w:rPr>
                <w:rFonts w:ascii="Arial" w:hAnsi="Arial" w:cs="Arial"/>
                <w:b/>
                <w:sz w:val="18"/>
                <w:szCs w:val="18"/>
                <w:lang w:eastAsia="fr-FR"/>
              </w:rPr>
            </w:pPr>
            <w:r>
              <w:rPr>
                <w:rFonts w:ascii="Arial" w:hAnsi="Arial" w:cs="Arial"/>
                <w:b/>
                <w:noProof/>
                <w:sz w:val="18"/>
                <w:szCs w:val="18"/>
                <w:lang w:val="es-ES" w:eastAsia="es-ES"/>
              </w:rPr>
              <w:drawing>
                <wp:inline distT="0" distB="0" distL="0" distR="0" wp14:anchorId="7BAE40E0" wp14:editId="66FBC390">
                  <wp:extent cx="2324100" cy="218047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4100" cy="2180476"/>
                          </a:xfrm>
                          <a:prstGeom prst="rect">
                            <a:avLst/>
                          </a:prstGeom>
                          <a:noFill/>
                          <a:ln>
                            <a:noFill/>
                          </a:ln>
                        </pic:spPr>
                      </pic:pic>
                    </a:graphicData>
                  </a:graphic>
                </wp:inline>
              </w:drawing>
            </w:r>
          </w:p>
        </w:tc>
      </w:tr>
    </w:tbl>
    <w:p w:rsidR="00473421" w:rsidRPr="00AA2407" w:rsidRDefault="00473421" w:rsidP="0075163D">
      <w:pPr>
        <w:pStyle w:val="FigureNote"/>
        <w:spacing w:before="120"/>
        <w:rPr>
          <w:lang w:eastAsia="fr-FR"/>
        </w:rPr>
      </w:pPr>
      <w:r w:rsidRPr="00771BD0">
        <w:rPr>
          <w:i/>
          <w:lang w:eastAsia="fr-FR"/>
        </w:rPr>
        <w:t>Note</w:t>
      </w:r>
      <w:r w:rsidRPr="00AA2407">
        <w:rPr>
          <w:lang w:eastAsia="fr-FR"/>
        </w:rPr>
        <w:t xml:space="preserve">: Predicted probabilities are derived from four separate logistic regression models (for each gender and age group). Control variables include: </w:t>
      </w:r>
      <w:r>
        <w:rPr>
          <w:lang w:eastAsia="fr-FR"/>
        </w:rPr>
        <w:t>five</w:t>
      </w:r>
      <w:r w:rsidRPr="00AA2407">
        <w:rPr>
          <w:lang w:eastAsia="fr-FR"/>
        </w:rPr>
        <w:t>-year age group, time, time squared, education level and country dummies. Age</w:t>
      </w:r>
      <w:r>
        <w:rPr>
          <w:lang w:eastAsia="fr-FR"/>
        </w:rPr>
        <w:t xml:space="preserve"> </w:t>
      </w:r>
      <w:r w:rsidRPr="00AA2407">
        <w:rPr>
          <w:lang w:eastAsia="fr-FR"/>
        </w:rPr>
        <w:t>standardisation is to the 2005 OECD population. The survey of health and ageing in Japan does not include a question about work participation related to disability.</w:t>
      </w:r>
    </w:p>
    <w:p w:rsidR="00473421" w:rsidRDefault="00473421" w:rsidP="00F76198">
      <w:pPr>
        <w:pStyle w:val="SourceDescription"/>
        <w:spacing w:after="120"/>
        <w:rPr>
          <w:lang w:eastAsia="fr-FR"/>
        </w:rPr>
      </w:pPr>
      <w:r w:rsidRPr="00823149">
        <w:rPr>
          <w:i/>
          <w:lang w:eastAsia="fr-FR"/>
        </w:rPr>
        <w:t>Source</w:t>
      </w:r>
      <w:r w:rsidRPr="00AA2407">
        <w:rPr>
          <w:lang w:eastAsia="fr-FR"/>
        </w:rPr>
        <w:t>: OECD estimates based on SHARE, ELSA, HRS, JSTAR, and CHARLS data.</w:t>
      </w:r>
    </w:p>
    <w:p w:rsidR="00117011" w:rsidRDefault="00F76198" w:rsidP="00F76198">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47"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10.1787/888933566115</w:t>
      </w:r>
    </w:p>
    <w:p w:rsidR="00473421" w:rsidRPr="00C520E8" w:rsidRDefault="00473421" w:rsidP="0075163D">
      <w:pPr>
        <w:pStyle w:val="Ttulo3"/>
      </w:pPr>
      <w:r>
        <w:t>How has income inequality evolved across generations?</w:t>
      </w:r>
    </w:p>
    <w:p w:rsidR="00473421" w:rsidRDefault="00473421" w:rsidP="0075163D">
      <w:pPr>
        <w:pStyle w:val="Textodecuerpo"/>
        <w:rPr>
          <w:rFonts w:ascii="Times-Roman" w:hAnsi="Times-Roman" w:cs="Times-Roman"/>
        </w:rPr>
      </w:pPr>
      <w:r w:rsidRPr="00005275">
        <w:t>Income inequality in OECD countries is at its highest level for the past half century. The average income of the richest 10% of the population is about nine times that of the poorest 10% across the OECD, up from seven times 25</w:t>
      </w:r>
      <w:r>
        <w:t> </w:t>
      </w:r>
      <w:r w:rsidRPr="00005275">
        <w:t>years ago.</w:t>
      </w:r>
      <w:r>
        <w:rPr>
          <w:rStyle w:val="Refdenotaalfinal"/>
        </w:rPr>
        <w:endnoteReference w:id="6"/>
      </w:r>
      <w:r>
        <w:rPr>
          <w:rFonts w:ascii="Times-Roman" w:hAnsi="Times-Roman" w:cs="Times-Roman"/>
        </w:rPr>
        <w:t xml:space="preserve"> </w:t>
      </w:r>
      <w:r w:rsidRPr="00005275">
        <w:t>Only in Turkey, Chile, and Mexico has inequality fallen, but in the latter two</w:t>
      </w:r>
      <w:r>
        <w:t> </w:t>
      </w:r>
      <w:r w:rsidRPr="00005275">
        <w:t>countries the incomes of the richest are still more than 25</w:t>
      </w:r>
      <w:r>
        <w:t> </w:t>
      </w:r>
      <w:r w:rsidRPr="00005275">
        <w:t xml:space="preserve">times those of the poorest. </w:t>
      </w:r>
      <w:r w:rsidRPr="008C5AA5">
        <w:t>Over the past few years</w:t>
      </w:r>
      <w:r>
        <w:t>, despite economic recovery in many countries</w:t>
      </w:r>
      <w:r w:rsidRPr="008C5AA5">
        <w:t xml:space="preserve">, income inequality levels have remained at historically high levels. </w:t>
      </w:r>
      <w:r w:rsidRPr="00D33EE8">
        <w:t xml:space="preserve">Income inequality </w:t>
      </w:r>
      <w:r>
        <w:t xml:space="preserve">is </w:t>
      </w:r>
      <w:r w:rsidRPr="00D33EE8">
        <w:t xml:space="preserve">commonly measured by the Gini coefficient which </w:t>
      </w:r>
      <w:r w:rsidRPr="00D33EE8">
        <w:rPr>
          <w:rFonts w:ascii="Times-Roman" w:hAnsi="Times-Roman" w:cs="Times-Roman"/>
        </w:rPr>
        <w:t>scores</w:t>
      </w:r>
      <w:r>
        <w:rPr>
          <w:rFonts w:ascii="Times-Roman" w:hAnsi="Times-Roman" w:cs="Times-Roman"/>
        </w:rPr>
        <w:t> </w:t>
      </w:r>
      <w:r w:rsidRPr="00D33EE8">
        <w:rPr>
          <w:rFonts w:ascii="Times-Roman" w:hAnsi="Times-Roman" w:cs="Times-Roman"/>
        </w:rPr>
        <w:t>0 when everybody has the same income and</w:t>
      </w:r>
      <w:r>
        <w:rPr>
          <w:rFonts w:ascii="Times-Roman" w:hAnsi="Times-Roman" w:cs="Times-Roman"/>
        </w:rPr>
        <w:t> </w:t>
      </w:r>
      <w:r w:rsidRPr="00D33EE8">
        <w:rPr>
          <w:rFonts w:ascii="Times-Roman" w:hAnsi="Times-Roman" w:cs="Times-Roman"/>
        </w:rPr>
        <w:t>1 when all of the income goes to only one person</w:t>
      </w:r>
      <w:r>
        <w:rPr>
          <w:rFonts w:ascii="Times-Roman" w:hAnsi="Times-Roman" w:cs="Times-Roman"/>
        </w:rPr>
        <w:t xml:space="preserve">. </w:t>
      </w:r>
      <w:r w:rsidRPr="008C5AA5">
        <w:t xml:space="preserve">Across OECD countries, the average Gini coefficient of disposable household income </w:t>
      </w:r>
      <w:r>
        <w:t>was fairly stable between 2010 and 2014 just below 0.32</w:t>
      </w:r>
      <w:r w:rsidRPr="008C5AA5">
        <w:t>.</w:t>
      </w:r>
    </w:p>
    <w:p w:rsidR="00473421" w:rsidRPr="00B34998" w:rsidRDefault="00473421" w:rsidP="0075163D">
      <w:pPr>
        <w:pStyle w:val="Textodecuerpo"/>
      </w:pPr>
      <w:r w:rsidRPr="00B34998">
        <w:t>In most OECD countries, income inequality has been rising from one generation to the next.</w:t>
      </w:r>
      <w:r>
        <w:t xml:space="preserve"> </w:t>
      </w:r>
      <w:r w:rsidRPr="00B34998">
        <w:t>Comparing people born in the 1920s and in the 1980s at the same ages shows a Gini increase of 4.4</w:t>
      </w:r>
      <w:r>
        <w:t> </w:t>
      </w:r>
      <w:r w:rsidRPr="00B34998">
        <w:t>percentage points, on average across the OECD. The increase is very large (</w:t>
      </w:r>
      <w:r w:rsidRPr="00823149">
        <w:t>i.e.</w:t>
      </w:r>
      <w:r w:rsidRPr="00B34998">
        <w:t xml:space="preserve"> greater than 9</w:t>
      </w:r>
      <w:r>
        <w:t> </w:t>
      </w:r>
      <w:r w:rsidRPr="00B34998">
        <w:t xml:space="preserve">points) in Belgium, the Czech Republic, Austria, </w:t>
      </w:r>
      <w:r w:rsidRPr="00823149">
        <w:t>Israel, the United States, Poland, the United Kingdom, Finland, the Slovak Republic and Australia (Figure</w:t>
      </w:r>
      <w:r>
        <w:t> </w:t>
      </w:r>
      <w:r w:rsidRPr="00823149">
        <w:t>1.5).</w:t>
      </w:r>
      <w:r w:rsidRPr="00B34998">
        <w:t xml:space="preserve"> There are some exceptions, however: income inequality at the same age declined across generations in Ireland, Switzerland, France and Greece, mostly among people born between the 1920s and the 1950s.</w:t>
      </w:r>
    </w:p>
    <w:p w:rsidR="00473421" w:rsidRPr="00F10BB0" w:rsidRDefault="00473421" w:rsidP="0075163D">
      <w:pPr>
        <w:pStyle w:val="FigureTitle"/>
      </w:pPr>
      <w:bookmarkStart w:id="26" w:name="_Toc493088638"/>
      <w:r w:rsidRPr="00F10BB0">
        <w:lastRenderedPageBreak/>
        <w:t>Figure 1.5. Income inequality at the same age has increased from one generation to the next</w:t>
      </w:r>
      <w:r w:rsidR="0075163D">
        <w:br/>
      </w:r>
      <w:r w:rsidRPr="00F10BB0">
        <w:t>in most countries</w:t>
      </w:r>
      <w:bookmarkEnd w:id="26"/>
    </w:p>
    <w:p w:rsidR="00473421" w:rsidRDefault="00473421" w:rsidP="0075163D">
      <w:pPr>
        <w:pStyle w:val="FigureSub-title"/>
      </w:pPr>
      <w:r w:rsidRPr="006F583E">
        <w:t>Changes in income Gini</w:t>
      </w:r>
      <w:r>
        <w:t xml:space="preserve"> coefficient</w:t>
      </w:r>
      <w:r w:rsidRPr="006F583E">
        <w:t>s at the same age across birth cohorts in p</w:t>
      </w:r>
      <w:r>
        <w:t>ercentage points</w:t>
      </w:r>
      <w:r w:rsidRPr="006F583E">
        <w:t>, average across age groups,</w:t>
      </w:r>
      <w:r w:rsidR="0075163D">
        <w:br/>
      </w:r>
      <w:r w:rsidRPr="006F583E">
        <w:t>cohort reference</w:t>
      </w:r>
      <w:r>
        <w:t> = </w:t>
      </w:r>
      <w:r w:rsidRPr="006F583E">
        <w:t>1920s</w:t>
      </w:r>
    </w:p>
    <w:p w:rsidR="00473421" w:rsidRPr="00AE6EDE" w:rsidRDefault="00324661" w:rsidP="0075163D">
      <w:pPr>
        <w:pStyle w:val="Textodecuerpo"/>
        <w:ind w:left="0" w:right="-57" w:firstLine="0"/>
        <w:jc w:val="center"/>
      </w:pPr>
      <w:r>
        <w:rPr>
          <w:noProof/>
          <w:lang w:val="es-ES" w:eastAsia="es-ES"/>
        </w:rPr>
        <w:drawing>
          <wp:inline distT="0" distB="0" distL="0" distR="0" wp14:anchorId="638A649F" wp14:editId="4F430486">
            <wp:extent cx="5779285" cy="25269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5.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79285" cy="2526956"/>
                    </a:xfrm>
                    <a:prstGeom prst="rect">
                      <a:avLst/>
                    </a:prstGeom>
                  </pic:spPr>
                </pic:pic>
              </a:graphicData>
            </a:graphic>
          </wp:inline>
        </w:drawing>
      </w:r>
    </w:p>
    <w:p w:rsidR="00473421" w:rsidRPr="00AA2407" w:rsidRDefault="00473421" w:rsidP="0075163D">
      <w:pPr>
        <w:pStyle w:val="FigureNote"/>
      </w:pPr>
      <w:r w:rsidRPr="00771BD0">
        <w:rPr>
          <w:i/>
        </w:rPr>
        <w:t>Note</w:t>
      </w:r>
      <w:r w:rsidRPr="00AA2407">
        <w:t xml:space="preserve">: The change in the income Gini </w:t>
      </w:r>
      <w:r>
        <w:t xml:space="preserve">coefficient </w:t>
      </w:r>
      <w:r w:rsidRPr="00AA2407">
        <w:t>at the same age across cohorts is estimated per country through cohort fixed effects controlling for age-group effects.</w:t>
      </w:r>
      <w:r>
        <w:t xml:space="preserve"> Older cohorts tend to be observed at old ages only and younger cohorts at young ages.</w:t>
      </w:r>
    </w:p>
    <w:p w:rsidR="00473421" w:rsidRDefault="00473421" w:rsidP="00F76198">
      <w:pPr>
        <w:pStyle w:val="SourceDescription"/>
        <w:spacing w:after="120"/>
      </w:pPr>
      <w:r w:rsidRPr="00771BD0">
        <w:rPr>
          <w:i/>
        </w:rPr>
        <w:t>Source</w:t>
      </w:r>
      <w:r w:rsidRPr="00AA2407">
        <w:t>: OECD calculations from</w:t>
      </w:r>
      <w:r w:rsidR="003D537D">
        <w:t xml:space="preserve"> the Luxembourg Income Study</w:t>
      </w:r>
      <w:r w:rsidRPr="00AA2407">
        <w:t xml:space="preserve"> data</w:t>
      </w:r>
      <w:r w:rsidRPr="003525C8">
        <w:t>.</w:t>
      </w:r>
    </w:p>
    <w:p w:rsidR="00117011" w:rsidRDefault="00F76198" w:rsidP="00F76198">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49" w:history="1">
        <w:r w:rsidR="00117011" w:rsidRPr="00117011">
          <w:rPr>
            <w:rStyle w:val="Hipervnculo"/>
            <w:i/>
            <w:iCs/>
            <w:color w:val="0000FF"/>
            <w:sz w:val="14"/>
            <w:szCs w:val="14"/>
          </w:rPr>
          <w:t>http://dx.doi.org</w:t>
        </w:r>
      </w:hyperlink>
      <w:r w:rsidR="003B3C8E">
        <w:rPr>
          <w:rStyle w:val="Hipervnculo"/>
          <w:i/>
          <w:iCs/>
          <w:color w:val="0000FF"/>
          <w:sz w:val="14"/>
          <w:szCs w:val="14"/>
        </w:rPr>
        <w:t>/</w:t>
      </w:r>
      <w:r w:rsidR="003B3C8E" w:rsidRPr="003B3C8E">
        <w:rPr>
          <w:rStyle w:val="Hipervnculo"/>
          <w:i/>
          <w:iCs/>
          <w:color w:val="0000FF"/>
          <w:sz w:val="14"/>
          <w:szCs w:val="14"/>
        </w:rPr>
        <w:t>10.1787/888933566134</w:t>
      </w:r>
    </w:p>
    <w:p w:rsidR="00473421" w:rsidRDefault="00473421" w:rsidP="0075163D">
      <w:pPr>
        <w:pStyle w:val="Textodecuerpo"/>
      </w:pPr>
      <w:r>
        <w:t>Overall, income inequality at the same ages has thus increased across cohorts in about two-thirds of countries, has been about flat in one-sixth of countries and has declined in about one-sixth. For example, in the United States (Figure 1.6, Panel A), inequality has been rising for each age group from one cohort to the next, from already high levels for the oldest cohort. A similar pattern is seen in the Slovak Republic (Panel B), albeit at lower levels of inequality. In Spain (Panel C), however, inequality across cohorts at the same ages has been relatively stable. Ireland, in Panel D, provides a counter-example with declining income inequality across cohorts.</w:t>
      </w:r>
    </w:p>
    <w:p w:rsidR="00473421" w:rsidRDefault="00473421" w:rsidP="0075163D">
      <w:pPr>
        <w:pStyle w:val="FigureTitle"/>
      </w:pPr>
      <w:bookmarkStart w:id="27" w:name="_Toc493088639"/>
      <w:r w:rsidRPr="00BA1668">
        <w:lastRenderedPageBreak/>
        <w:t>Figure 1.</w:t>
      </w:r>
      <w:r>
        <w:t>6</w:t>
      </w:r>
      <w:r w:rsidRPr="00BA1668">
        <w:t xml:space="preserve">. Income Gini </w:t>
      </w:r>
      <w:r>
        <w:t xml:space="preserve">coefficient </w:t>
      </w:r>
      <w:r w:rsidRPr="00BA1668">
        <w:t>by cohort and age groups in four selected countries</w:t>
      </w:r>
      <w:bookmarkEnd w:id="27"/>
    </w:p>
    <w:p w:rsidR="00473421" w:rsidRPr="005A3B5E" w:rsidRDefault="00A9006E" w:rsidP="0075163D">
      <w:pPr>
        <w:spacing w:after="120"/>
        <w:jc w:val="center"/>
        <w:rPr>
          <w:rFonts w:ascii="Arial" w:hAnsi="Arial" w:cs="Arial"/>
          <w:b/>
          <w:bCs/>
          <w:sz w:val="18"/>
          <w:szCs w:val="18"/>
        </w:rPr>
      </w:pPr>
      <w:r w:rsidRPr="00A9006E">
        <w:rPr>
          <w:noProof/>
          <w:lang w:val="es-ES" w:eastAsia="es-ES"/>
        </w:rPr>
        <w:drawing>
          <wp:inline distT="0" distB="0" distL="0" distR="0" wp14:anchorId="59115D92" wp14:editId="0A3FA287">
            <wp:extent cx="5667375" cy="3409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rsidR="00473421" w:rsidRDefault="00473421" w:rsidP="00AB4AB5">
      <w:pPr>
        <w:pStyle w:val="SourceDescription"/>
        <w:spacing w:after="120"/>
      </w:pPr>
      <w:r>
        <w:rPr>
          <w:i/>
        </w:rPr>
        <w:t>Source</w:t>
      </w:r>
      <w:r>
        <w:t>:</w:t>
      </w:r>
      <w:r w:rsidRPr="00417E72">
        <w:t xml:space="preserve"> </w:t>
      </w:r>
      <w:r>
        <w:t xml:space="preserve">Calculations </w:t>
      </w:r>
      <w:r w:rsidRPr="00417E72">
        <w:t>from the Luxembourg Income Study cover</w:t>
      </w:r>
      <w:r>
        <w:t>ing 2</w:t>
      </w:r>
      <w:r w:rsidR="005F3171">
        <w:t>5</w:t>
      </w:r>
      <w:r>
        <w:t xml:space="preserve"> OECD countries.</w:t>
      </w:r>
    </w:p>
    <w:p w:rsidR="00117011" w:rsidRPr="00117011" w:rsidRDefault="00AB4AB5" w:rsidP="00AB4AB5">
      <w:pPr>
        <w:autoSpaceDE w:val="0"/>
        <w:autoSpaceDN w:val="0"/>
        <w:adjustRightInd w:val="0"/>
        <w:spacing w:after="240"/>
        <w:jc w:val="right"/>
        <w:rPr>
          <w:i/>
          <w:iCs/>
          <w:color w:val="0000FF"/>
          <w:sz w:val="14"/>
          <w:szCs w:val="14"/>
        </w:rPr>
      </w:pPr>
      <w:r w:rsidRPr="001766F9">
        <w:rPr>
          <w:rFonts w:ascii="StatLink" w:hAnsi="StatLink" w:cs="StatLink"/>
          <w:color w:val="000000"/>
          <w:sz w:val="14"/>
          <w:szCs w:val="14"/>
        </w:rPr>
        <w:t xml:space="preserve">1 2 </w:t>
      </w:r>
      <w:hyperlink r:id="rId51"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10.1787/888933566153</w:t>
      </w:r>
    </w:p>
    <w:p w:rsidR="00473421" w:rsidRPr="00F942F6" w:rsidRDefault="00473421" w:rsidP="0075163D">
      <w:pPr>
        <w:pStyle w:val="Textodecuerpo"/>
      </w:pPr>
      <w:r>
        <w:t xml:space="preserve">Moving from the average across ages, as illustrated above, to specific age groups shows that the younger age groups are now </w:t>
      </w:r>
      <w:r w:rsidRPr="00F942F6">
        <w:t>the most unequal.</w:t>
      </w:r>
      <w:r w:rsidRPr="00F942F6">
        <w:rPr>
          <w:rStyle w:val="Refdenotaalfinal"/>
        </w:rPr>
        <w:endnoteReference w:id="7"/>
      </w:r>
      <w:r w:rsidRPr="00F942F6">
        <w:t xml:space="preserve"> </w:t>
      </w:r>
      <w:r w:rsidRPr="00823149">
        <w:t>Figure</w:t>
      </w:r>
      <w:r>
        <w:t> </w:t>
      </w:r>
      <w:r w:rsidRPr="00823149">
        <w:t>1.7 shows that, on average across countries, income inequality among those aged</w:t>
      </w:r>
      <w:r>
        <w:t> </w:t>
      </w:r>
      <w:r w:rsidRPr="00823149">
        <w:t>20-24 is about 6</w:t>
      </w:r>
      <w:r>
        <w:t> </w:t>
      </w:r>
      <w:r w:rsidRPr="00823149">
        <w:t>percentage points –</w:t>
      </w:r>
      <w:r>
        <w:t> </w:t>
      </w:r>
      <w:r w:rsidRPr="00823149">
        <w:t>or</w:t>
      </w:r>
      <w:r>
        <w:t xml:space="preserve"> about 24% – </w:t>
      </w:r>
      <w:r w:rsidRPr="00F942F6">
        <w:t xml:space="preserve">higher for the generations born in the 1980s than it was for those born in the 1950s. </w:t>
      </w:r>
      <w:r>
        <w:t xml:space="preserve">Some major trends, such as the development of education and changes in household structures across generations, are likely to have influenced these developments. </w:t>
      </w:r>
      <w:r w:rsidRPr="00F942F6">
        <w:t>Inequality in middle age (45-49</w:t>
      </w:r>
      <w:r>
        <w:t> </w:t>
      </w:r>
      <w:r w:rsidRPr="00F942F6">
        <w:t xml:space="preserve">years), also increased especially between the generations born from the 1930s to the 1960s; for older age groups, by contrast, it remained </w:t>
      </w:r>
      <w:r>
        <w:t xml:space="preserve">broadly </w:t>
      </w:r>
      <w:r w:rsidRPr="00F942F6">
        <w:t>stable. This means that inequality among people starting their working life is now already much higher than among today’s elderly, which is in stark contrast to pat</w:t>
      </w:r>
      <w:r>
        <w:t>terns observed in the past.</w:t>
      </w:r>
    </w:p>
    <w:p w:rsidR="00473421" w:rsidRPr="00F10BB0" w:rsidRDefault="00473421" w:rsidP="0075163D">
      <w:pPr>
        <w:pStyle w:val="FigureTitle"/>
      </w:pPr>
      <w:bookmarkStart w:id="28" w:name="_Toc493088640"/>
      <w:r w:rsidRPr="00F10BB0">
        <w:lastRenderedPageBreak/>
        <w:t>Figure 1.7. High income inequality for youngest cohorts at the start of their working life</w:t>
      </w:r>
      <w:bookmarkEnd w:id="28"/>
    </w:p>
    <w:p w:rsidR="00473421" w:rsidRPr="006F583E" w:rsidRDefault="00473421" w:rsidP="0075163D">
      <w:pPr>
        <w:pStyle w:val="FigureSub-title"/>
      </w:pPr>
      <w:r w:rsidRPr="006F583E">
        <w:t>Gini of income by age groups for different birth cohorts</w:t>
      </w:r>
    </w:p>
    <w:p w:rsidR="00473421" w:rsidRPr="004A1A51" w:rsidRDefault="000F3AA4" w:rsidP="0075163D">
      <w:pPr>
        <w:spacing w:after="120"/>
        <w:jc w:val="center"/>
        <w:rPr>
          <w:b/>
          <w:sz w:val="20"/>
          <w:szCs w:val="20"/>
        </w:rPr>
      </w:pPr>
      <w:r>
        <w:rPr>
          <w:b/>
          <w:noProof/>
          <w:sz w:val="20"/>
          <w:szCs w:val="20"/>
          <w:lang w:val="es-ES" w:eastAsia="es-ES"/>
        </w:rPr>
        <w:drawing>
          <wp:inline distT="0" distB="0" distL="0" distR="0" wp14:anchorId="464ACB84" wp14:editId="3E6E62D1">
            <wp:extent cx="5203060" cy="2131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7.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09899" cy="2134277"/>
                    </a:xfrm>
                    <a:prstGeom prst="rect">
                      <a:avLst/>
                    </a:prstGeom>
                  </pic:spPr>
                </pic:pic>
              </a:graphicData>
            </a:graphic>
          </wp:inline>
        </w:drawing>
      </w:r>
    </w:p>
    <w:p w:rsidR="00473421" w:rsidRPr="006F583E" w:rsidRDefault="00473421" w:rsidP="0075163D">
      <w:pPr>
        <w:pStyle w:val="FigureNote"/>
      </w:pPr>
      <w:r w:rsidRPr="00771BD0">
        <w:rPr>
          <w:i/>
        </w:rPr>
        <w:t>Note</w:t>
      </w:r>
      <w:r w:rsidRPr="006F583E">
        <w:t>: The pattern for each cohort is estimated using age and country fixed effects</w:t>
      </w:r>
      <w:r>
        <w:t xml:space="preserve"> to control for the unbalanced nature of the data. The above chart shows the age effects. For example, on average across countries, the Gini coefficient among those aged between 20 and 24 years increased from 0.250 for those born in the 1950s to 0.306 for those born in the 1980s.</w:t>
      </w:r>
    </w:p>
    <w:p w:rsidR="00473421" w:rsidRDefault="00473421" w:rsidP="00AB4AB5">
      <w:pPr>
        <w:pStyle w:val="SourceDescription"/>
        <w:spacing w:after="120"/>
      </w:pPr>
      <w:r w:rsidRPr="00771BD0">
        <w:rPr>
          <w:i/>
        </w:rPr>
        <w:t>Source</w:t>
      </w:r>
      <w:r w:rsidRPr="006F583E">
        <w:t xml:space="preserve">: OECD calculations from </w:t>
      </w:r>
      <w:r>
        <w:t xml:space="preserve">the </w:t>
      </w:r>
      <w:r w:rsidRPr="00417E72">
        <w:t>Luxembourg Income Study</w:t>
      </w:r>
      <w:r w:rsidRPr="006F583E">
        <w:t xml:space="preserve"> data</w:t>
      </w:r>
      <w:r w:rsidRPr="003525C8">
        <w:t>.</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53"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10.1787/888933566172</w:t>
      </w:r>
    </w:p>
    <w:p w:rsidR="00473421" w:rsidRPr="00691B7D" w:rsidRDefault="00473421" w:rsidP="0075163D">
      <w:pPr>
        <w:pStyle w:val="Num-DocParagraph"/>
        <w:rPr>
          <w:b/>
          <w:i/>
        </w:rPr>
      </w:pPr>
      <w:r>
        <w:rPr>
          <w:b/>
          <w:i/>
        </w:rPr>
        <w:t>Poverty risks are shifting from the old to the young</w:t>
      </w:r>
    </w:p>
    <w:p w:rsidR="00473421" w:rsidRPr="00691B7D" w:rsidRDefault="00473421" w:rsidP="0075163D">
      <w:pPr>
        <w:pStyle w:val="Textodecuerpo"/>
      </w:pPr>
      <w:r>
        <w:t xml:space="preserve">Compared to younger age </w:t>
      </w:r>
      <w:r w:rsidRPr="00823149">
        <w:t>groups, the economic situation of older people has improved over past decades. Figure 1.8 shows that since the mid-1980s the income of the group aged 60-64 grew by a cumulative 13% more than that of</w:t>
      </w:r>
      <w:r>
        <w:t xml:space="preserve"> the </w:t>
      </w:r>
      <w:r w:rsidRPr="00691B7D">
        <w:t>30-34</w:t>
      </w:r>
      <w:r>
        <w:t xml:space="preserve"> age group, </w:t>
      </w:r>
      <w:r w:rsidRPr="00691B7D">
        <w:t xml:space="preserve">on average across countries. The income shift benefited older people in </w:t>
      </w:r>
      <w:r>
        <w:t>most</w:t>
      </w:r>
      <w:r w:rsidRPr="00691B7D">
        <w:t xml:space="preserve"> countries for which data are available, </w:t>
      </w:r>
      <w:r>
        <w:t>except</w:t>
      </w:r>
      <w:r w:rsidRPr="00691B7D">
        <w:t xml:space="preserve"> in Anglo-Saxon countries, the Slovak Republic </w:t>
      </w:r>
      <w:r>
        <w:t>and</w:t>
      </w:r>
      <w:r w:rsidRPr="00691B7D">
        <w:t xml:space="preserve"> Poland. The </w:t>
      </w:r>
      <w:r>
        <w:t xml:space="preserve">relative </w:t>
      </w:r>
      <w:r w:rsidRPr="00691B7D">
        <w:t>position of older people has improved especially in Italy, Spain, France and Denmark.</w:t>
      </w:r>
    </w:p>
    <w:p w:rsidR="00473421" w:rsidRDefault="00473421" w:rsidP="0075163D">
      <w:pPr>
        <w:pStyle w:val="FigureTitle"/>
      </w:pPr>
      <w:bookmarkStart w:id="29" w:name="_Toc493088641"/>
      <w:r w:rsidRPr="002837E1">
        <w:t xml:space="preserve">Figure </w:t>
      </w:r>
      <w:r>
        <w:t>1.8</w:t>
      </w:r>
      <w:r w:rsidRPr="002837E1">
        <w:t xml:space="preserve">. </w:t>
      </w:r>
      <w:r>
        <w:t>Real income growth was faster for the older age groups</w:t>
      </w:r>
      <w:bookmarkEnd w:id="29"/>
    </w:p>
    <w:p w:rsidR="00473421" w:rsidRPr="00F10BB0" w:rsidRDefault="00473421" w:rsidP="0075163D">
      <w:pPr>
        <w:pStyle w:val="FigureSub-title"/>
      </w:pPr>
      <w:r w:rsidRPr="00F10BB0">
        <w:t>Change in relative income of 60-64 vs 30-34 between t</w:t>
      </w:r>
      <w:r>
        <w:t>he mid-1980s and the mid-2010s</w:t>
      </w:r>
    </w:p>
    <w:p w:rsidR="00473421" w:rsidRPr="004C5F06" w:rsidRDefault="000F3AA4" w:rsidP="0075163D">
      <w:pPr>
        <w:pStyle w:val="Graphic"/>
        <w:spacing w:after="120"/>
      </w:pPr>
      <w:r>
        <w:rPr>
          <w:noProof/>
          <w:lang w:val="es-ES" w:eastAsia="es-ES"/>
        </w:rPr>
        <w:drawing>
          <wp:inline distT="0" distB="0" distL="0" distR="0" wp14:anchorId="2BD1B9ED" wp14:editId="27D6964F">
            <wp:extent cx="5158740" cy="2169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8.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57631" cy="2168889"/>
                    </a:xfrm>
                    <a:prstGeom prst="rect">
                      <a:avLst/>
                    </a:prstGeom>
                  </pic:spPr>
                </pic:pic>
              </a:graphicData>
            </a:graphic>
          </wp:inline>
        </w:drawing>
      </w:r>
    </w:p>
    <w:p w:rsidR="00473421" w:rsidRDefault="00473421" w:rsidP="00AB4AB5">
      <w:pPr>
        <w:pStyle w:val="SourceDescription"/>
        <w:spacing w:after="120"/>
      </w:pPr>
      <w:r w:rsidRPr="00771BD0">
        <w:rPr>
          <w:i/>
        </w:rPr>
        <w:t>Source</w:t>
      </w:r>
      <w:r w:rsidRPr="00BB734A">
        <w:t>: OECD computations from the Luxembourg Income S</w:t>
      </w:r>
      <w:r>
        <w:t>tudy data</w:t>
      </w:r>
      <w:r w:rsidRPr="00BB734A">
        <w:t>.</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55"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10.1787/888933566191</w:t>
      </w:r>
    </w:p>
    <w:p w:rsidR="00473421" w:rsidRDefault="00473421" w:rsidP="0075163D">
      <w:pPr>
        <w:pStyle w:val="Textodecuerpo"/>
      </w:pPr>
      <w:r>
        <w:lastRenderedPageBreak/>
        <w:t>P</w:t>
      </w:r>
      <w:r w:rsidRPr="0002509A">
        <w:t xml:space="preserve">overty risks </w:t>
      </w:r>
      <w:r>
        <w:t>have shifted from older to younger groups in</w:t>
      </w:r>
      <w:r w:rsidRPr="00810C52">
        <w:t xml:space="preserve"> </w:t>
      </w:r>
      <w:r>
        <w:t>most</w:t>
      </w:r>
      <w:r w:rsidRPr="00810C52">
        <w:t xml:space="preserve"> OECD countries</w:t>
      </w:r>
      <w:r w:rsidRPr="0002509A">
        <w:t xml:space="preserve"> since</w:t>
      </w:r>
      <w:r>
        <w:t xml:space="preserve"> the mid-1980s (Chapter 3). Relative poverty rates have steadily increased for youth aged 18-25 years, reaching 13.9% on average across the OECD. Pensioners, by contrast, have been relatively protected from negative income shocks since 2007-08, except in countries where the crisis hit hardest. The poverty rate for those aged 66-75 </w:t>
      </w:r>
      <w:r w:rsidRPr="00823149">
        <w:t>years today is 10.6% on average across OECD countries, against 11.4% for the whole population (Figure</w:t>
      </w:r>
      <w:r>
        <w:t> </w:t>
      </w:r>
      <w:r w:rsidRPr="00823149">
        <w:t>1.9).</w:t>
      </w:r>
    </w:p>
    <w:p w:rsidR="00473421" w:rsidRPr="008A5C09" w:rsidRDefault="00473421" w:rsidP="0075163D">
      <w:pPr>
        <w:pStyle w:val="Textodecuerpo"/>
      </w:pPr>
      <w:r>
        <w:t xml:space="preserve">It should be noted, however, that </w:t>
      </w:r>
      <w:r w:rsidRPr="008A5C09">
        <w:t xml:space="preserve">those </w:t>
      </w:r>
      <w:r>
        <w:t>older than </w:t>
      </w:r>
      <w:r w:rsidRPr="008A5C09">
        <w:t>75 are still the most vulnerable with an average poverty rate of 14.</w:t>
      </w:r>
      <w:r>
        <w:t>4</w:t>
      </w:r>
      <w:r w:rsidRPr="008A5C09">
        <w:t xml:space="preserve"> %. More than one in five </w:t>
      </w:r>
      <w:r>
        <w:t>people</w:t>
      </w:r>
      <w:r w:rsidRPr="008A5C09">
        <w:t xml:space="preserve"> </w:t>
      </w:r>
      <w:r>
        <w:t>above </w:t>
      </w:r>
      <w:r w:rsidRPr="008A5C09">
        <w:t xml:space="preserve">75 are poor in Japan, </w:t>
      </w:r>
      <w:r>
        <w:t xml:space="preserve">Latvia, Turkey, Israel, Estonia, </w:t>
      </w:r>
      <w:r w:rsidRPr="008A5C09">
        <w:t>the United States, Switzerland, Australia</w:t>
      </w:r>
      <w:r>
        <w:t>, Mexico</w:t>
      </w:r>
      <w:r w:rsidRPr="008A5C09">
        <w:t xml:space="preserve"> and Korea.</w:t>
      </w:r>
      <w:r>
        <w:rPr>
          <w:rStyle w:val="Refdenotaalfinal"/>
        </w:rPr>
        <w:endnoteReference w:id="8"/>
      </w:r>
      <w:r w:rsidRPr="008A5C09">
        <w:t xml:space="preserve"> Among OECD countries, old-age poverty rates are closely related to the poverty rate for the whole population, except in Australia, Korea and Switzerland where the old-age poverty rate is much </w:t>
      </w:r>
      <w:r>
        <w:t>higher</w:t>
      </w:r>
      <w:r w:rsidRPr="008A5C09">
        <w:t>.</w:t>
      </w:r>
    </w:p>
    <w:p w:rsidR="00473421" w:rsidRDefault="00473421" w:rsidP="0075163D">
      <w:pPr>
        <w:pStyle w:val="Num-DocParagraph"/>
        <w:jc w:val="center"/>
        <w:rPr>
          <w:rFonts w:ascii="Arial" w:hAnsi="Arial" w:cs="Arial"/>
          <w:b/>
          <w:bCs/>
          <w:sz w:val="18"/>
        </w:rPr>
      </w:pPr>
      <w:r w:rsidRPr="00771BD0">
        <w:rPr>
          <w:rFonts w:ascii="Arial" w:hAnsi="Arial" w:cs="Arial"/>
          <w:b/>
          <w:bCs/>
          <w:sz w:val="18"/>
        </w:rPr>
        <w:t>Figure 1.9. Relative poverty rates by age group, 2014 or latest</w:t>
      </w:r>
      <w:r w:rsidRPr="00823149">
        <w:rPr>
          <w:rFonts w:ascii="Arial" w:hAnsi="Arial" w:cs="Arial"/>
          <w:b/>
          <w:bCs/>
          <w:sz w:val="18"/>
        </w:rPr>
        <w:t xml:space="preserve"> year available</w:t>
      </w:r>
    </w:p>
    <w:p w:rsidR="00473421" w:rsidRDefault="00A95CF5" w:rsidP="0075163D">
      <w:pPr>
        <w:pStyle w:val="Num-DocParagraph"/>
        <w:ind w:left="0" w:right="-57"/>
        <w:jc w:val="center"/>
        <w:rPr>
          <w:rFonts w:ascii="Arial" w:hAnsi="Arial" w:cs="Arial"/>
          <w:b/>
          <w:sz w:val="18"/>
          <w:szCs w:val="18"/>
        </w:rPr>
      </w:pPr>
      <w:r>
        <w:rPr>
          <w:rFonts w:ascii="Arial" w:hAnsi="Arial" w:cs="Arial"/>
          <w:b/>
          <w:noProof/>
          <w:sz w:val="18"/>
          <w:szCs w:val="18"/>
          <w:lang w:val="es-ES" w:eastAsia="es-ES"/>
        </w:rPr>
        <w:drawing>
          <wp:inline distT="0" distB="0" distL="0" distR="0" wp14:anchorId="6E512D0A" wp14:editId="3B39B864">
            <wp:extent cx="5779285" cy="252695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9.em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79285" cy="2526956"/>
                    </a:xfrm>
                    <a:prstGeom prst="rect">
                      <a:avLst/>
                    </a:prstGeom>
                  </pic:spPr>
                </pic:pic>
              </a:graphicData>
            </a:graphic>
          </wp:inline>
        </w:drawing>
      </w:r>
    </w:p>
    <w:p w:rsidR="00473421" w:rsidRDefault="00473421" w:rsidP="0075163D">
      <w:pPr>
        <w:pStyle w:val="FigureNote"/>
      </w:pPr>
      <w:r w:rsidRPr="00771BD0">
        <w:rPr>
          <w:i/>
        </w:rPr>
        <w:t>Note</w:t>
      </w:r>
      <w:r>
        <w:t xml:space="preserve">: </w:t>
      </w:r>
      <w:r w:rsidRPr="00392DE3">
        <w:t xml:space="preserve">Poverty rates are defined at half the median-equivalised income. </w:t>
      </w:r>
      <w:r w:rsidRPr="005D112F">
        <w:t>Data refer to 2014 for the Netherlands, Finland, Hungary, the United States, Israel, Mexico, Australia</w:t>
      </w:r>
      <w:r>
        <w:t xml:space="preserve"> </w:t>
      </w:r>
      <w:r w:rsidRPr="005D112F">
        <w:t>and Korea; to 2012 for New Zealand and Japan; and to 2013 for all other countries.</w:t>
      </w:r>
      <w:r>
        <w:t xml:space="preserve"> For the OECD average, the poverty rate is 13.9% for the 18-25 and 14.4% for the 76+.</w:t>
      </w:r>
    </w:p>
    <w:p w:rsidR="00473421" w:rsidRDefault="00473421" w:rsidP="00AB4AB5">
      <w:pPr>
        <w:pStyle w:val="SourceDescription"/>
        <w:spacing w:after="120"/>
        <w:rPr>
          <w:i/>
        </w:rPr>
      </w:pPr>
      <w:r w:rsidRPr="00771BD0">
        <w:rPr>
          <w:i/>
        </w:rPr>
        <w:t>Source</w:t>
      </w:r>
      <w:r w:rsidRPr="00392DE3">
        <w:t xml:space="preserve">: </w:t>
      </w:r>
      <w:r w:rsidRPr="00771BD0">
        <w:rPr>
          <w:i/>
        </w:rPr>
        <w:t>OECD Income Distribution Database.</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57"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10.1787/888933566210</w:t>
      </w:r>
    </w:p>
    <w:p w:rsidR="00473421" w:rsidRPr="0075163D" w:rsidRDefault="00473421" w:rsidP="0075163D">
      <w:pPr>
        <w:pStyle w:val="Ttulo2"/>
        <w:ind w:right="85"/>
        <w:rPr>
          <w:color w:val="4F81BD"/>
        </w:rPr>
      </w:pPr>
      <w:bookmarkStart w:id="30" w:name="_Toc488843956"/>
      <w:bookmarkStart w:id="31" w:name="_Toc491856767"/>
      <w:r w:rsidRPr="0075163D">
        <w:rPr>
          <w:color w:val="4F81BD"/>
        </w:rPr>
        <w:t xml:space="preserve">2. </w:t>
      </w:r>
      <w:r w:rsidRPr="0075163D">
        <w:rPr>
          <w:color w:val="4F81BD"/>
        </w:rPr>
        <w:tab/>
        <w:t>How di</w:t>
      </w:r>
      <w:r w:rsidR="00FE5344">
        <w:rPr>
          <w:color w:val="4F81BD"/>
        </w:rPr>
        <w:t>sadvantage becomes entrenched: C</w:t>
      </w:r>
      <w:r w:rsidRPr="0075163D">
        <w:rPr>
          <w:color w:val="4F81BD"/>
        </w:rPr>
        <w:t>ompounding inequalities over the life course</w:t>
      </w:r>
      <w:bookmarkEnd w:id="30"/>
      <w:bookmarkEnd w:id="31"/>
    </w:p>
    <w:p w:rsidR="00473421" w:rsidRDefault="00473421" w:rsidP="0075163D">
      <w:pPr>
        <w:pStyle w:val="Textodecuerpo"/>
      </w:pPr>
      <w:r>
        <w:t xml:space="preserve">Ageing unequally starts early and </w:t>
      </w:r>
      <w:r w:rsidRPr="00993B52">
        <w:t>build</w:t>
      </w:r>
      <w:r>
        <w:t>s</w:t>
      </w:r>
      <w:r w:rsidRPr="00993B52">
        <w:t xml:space="preserve"> up from childhood to </w:t>
      </w:r>
      <w:r>
        <w:t>old age. This section shows how i</w:t>
      </w:r>
      <w:r w:rsidRPr="004A1A51">
        <w:t>nequalit</w:t>
      </w:r>
      <w:r>
        <w:t xml:space="preserve">ies in </w:t>
      </w:r>
      <w:r w:rsidRPr="004A1A51">
        <w:t xml:space="preserve">different </w:t>
      </w:r>
      <w:r>
        <w:t>dimensions, such as education, health, employment and earnings, reinforce each other and evolve over the life course</w:t>
      </w:r>
      <w:r w:rsidRPr="004A1A51">
        <w:t>.</w:t>
      </w:r>
      <w:r>
        <w:t xml:space="preserve"> </w:t>
      </w:r>
      <w:r w:rsidRPr="00417E72">
        <w:t xml:space="preserve">Children who are healthy and </w:t>
      </w:r>
      <w:r>
        <w:t xml:space="preserve">living </w:t>
      </w:r>
      <w:r w:rsidRPr="00417E72">
        <w:t>in a safe and nurturing environment perform better in school, reach higher degrees and have better chances of succeeding later on in the labour market. People with stable jobs and higher incomes, good access to health and other services are more likely to retire with adequate income. People with low quality jobs, low incomes and unstable careers, by contrast, tend to be in worse health and face higher risks of unemployment and poverty</w:t>
      </w:r>
      <w:r>
        <w:t>, and these disadvantages are passed on to the next generation</w:t>
      </w:r>
      <w:r w:rsidRPr="00417E72">
        <w:t>.</w:t>
      </w:r>
    </w:p>
    <w:p w:rsidR="0075163D" w:rsidRDefault="0075163D">
      <w:pPr>
        <w:rPr>
          <w:b/>
          <w:i/>
          <w:lang w:val="en-US"/>
        </w:rPr>
      </w:pPr>
      <w:r>
        <w:rPr>
          <w:b/>
          <w:i/>
        </w:rPr>
        <w:br w:type="page"/>
      </w:r>
    </w:p>
    <w:p w:rsidR="00473421" w:rsidRPr="00077798" w:rsidRDefault="00473421" w:rsidP="0075163D">
      <w:pPr>
        <w:pStyle w:val="Num-DocParagraph"/>
        <w:rPr>
          <w:b/>
          <w:i/>
        </w:rPr>
      </w:pPr>
      <w:r w:rsidRPr="00077798">
        <w:rPr>
          <w:b/>
          <w:i/>
        </w:rPr>
        <w:lastRenderedPageBreak/>
        <w:t>A look at income inequality over the life course</w:t>
      </w:r>
    </w:p>
    <w:p w:rsidR="00473421" w:rsidRPr="00E76BCD" w:rsidRDefault="00473421" w:rsidP="0075163D">
      <w:pPr>
        <w:pStyle w:val="Textodecuerpo"/>
      </w:pPr>
      <w:r w:rsidRPr="00E76BCD">
        <w:t xml:space="preserve">Income inequality, as measured by the Gini index, has typically been rising with age within the </w:t>
      </w:r>
      <w:r w:rsidRPr="00823149">
        <w:t>same cohort, peaking at about age 55-60, on average across cohorts and countries (Figure</w:t>
      </w:r>
      <w:r>
        <w:t> </w:t>
      </w:r>
      <w:r w:rsidRPr="00823149">
        <w:t>1.10).</w:t>
      </w:r>
      <w:r w:rsidRPr="00E76BCD">
        <w:t xml:space="preserve"> Inequality </w:t>
      </w:r>
      <w:r>
        <w:t xml:space="preserve">generally then </w:t>
      </w:r>
      <w:r w:rsidRPr="00E76BCD">
        <w:t>decline</w:t>
      </w:r>
      <w:r>
        <w:t>s</w:t>
      </w:r>
      <w:r w:rsidRPr="00E76BCD">
        <w:t>, dropping by about 3 percentage points at ages</w:t>
      </w:r>
      <w:r>
        <w:t> </w:t>
      </w:r>
      <w:r w:rsidRPr="00E76BCD">
        <w:t>75-79</w:t>
      </w:r>
      <w:r>
        <w:t xml:space="preserve">, which </w:t>
      </w:r>
      <w:r w:rsidRPr="00E76BCD">
        <w:t>correspond</w:t>
      </w:r>
      <w:r>
        <w:t>s</w:t>
      </w:r>
      <w:r w:rsidRPr="00E76BCD">
        <w:t xml:space="preserve"> to a 10% r</w:t>
      </w:r>
      <w:r>
        <w:t>eduction of inequality</w:t>
      </w:r>
      <w:r w:rsidRPr="00E76BCD">
        <w:t xml:space="preserve">. </w:t>
      </w:r>
      <w:r>
        <w:t xml:space="preserve">This is consistent with the age-as-leveller (AAL) hypothesis, which states that inequality falls as older adults disengage from systems which perpetuate social strata, such as the labour market, and </w:t>
      </w:r>
      <w:r w:rsidR="002A244C">
        <w:t xml:space="preserve">as </w:t>
      </w:r>
      <w:r>
        <w:t xml:space="preserve">pension systems tend to redistribute income to poorer retirees </w:t>
      </w:r>
      <w:r w:rsidRPr="00E1273E">
        <w:t>(Corna, 2013</w:t>
      </w:r>
      <w:r>
        <w:t>; OECD, 2015b</w:t>
      </w:r>
      <w:r w:rsidRPr="00DC574F">
        <w:t>)</w:t>
      </w:r>
      <w:r>
        <w:t>.</w:t>
      </w:r>
    </w:p>
    <w:p w:rsidR="00473421" w:rsidRDefault="00473421" w:rsidP="0075163D">
      <w:pPr>
        <w:pStyle w:val="FigureTitle"/>
      </w:pPr>
      <w:bookmarkStart w:id="32" w:name="_Toc493088642"/>
      <w:r w:rsidRPr="00B41381">
        <w:t>Figure 1.</w:t>
      </w:r>
      <w:r>
        <w:t>10</w:t>
      </w:r>
      <w:r w:rsidRPr="00B41381">
        <w:t xml:space="preserve">. </w:t>
      </w:r>
      <w:r>
        <w:t>Income inequality reaches a peak at age 55-59</w:t>
      </w:r>
      <w:r w:rsidRPr="00082C82">
        <w:t xml:space="preserve"> </w:t>
      </w:r>
      <w:r>
        <w:t>over the life course for the same generation</w:t>
      </w:r>
      <w:bookmarkEnd w:id="32"/>
    </w:p>
    <w:p w:rsidR="00473421" w:rsidRPr="00082C82" w:rsidRDefault="00473421" w:rsidP="0075163D">
      <w:pPr>
        <w:pStyle w:val="FigureSub-title"/>
      </w:pPr>
      <w:r w:rsidRPr="00082C82">
        <w:t>Estimated age pattern within cohorts of the Gini index of income</w:t>
      </w:r>
      <w:r>
        <w:t>, a</w:t>
      </w:r>
      <w:r w:rsidRPr="00082C82">
        <w:t>verage across cohorts and countries</w:t>
      </w:r>
    </w:p>
    <w:p w:rsidR="00473421" w:rsidRDefault="00473421" w:rsidP="0075163D">
      <w:pPr>
        <w:pStyle w:val="FigureSub-title"/>
      </w:pPr>
      <w:r w:rsidRPr="00823149">
        <w:t>R</w:t>
      </w:r>
      <w:r w:rsidRPr="00082C82">
        <w:t>eference age group = 20-24</w:t>
      </w:r>
    </w:p>
    <w:p w:rsidR="00473421" w:rsidRPr="00C058C5" w:rsidRDefault="002E28A1" w:rsidP="0075163D">
      <w:pPr>
        <w:spacing w:after="120"/>
        <w:jc w:val="center"/>
      </w:pPr>
      <w:r>
        <w:rPr>
          <w:noProof/>
          <w:lang w:val="es-ES" w:eastAsia="es-ES"/>
        </w:rPr>
        <w:drawing>
          <wp:inline distT="0" distB="0" distL="0" distR="0" wp14:anchorId="3063B36A" wp14:editId="7BE6B03D">
            <wp:extent cx="5878194" cy="25269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10.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78194" cy="2526956"/>
                    </a:xfrm>
                    <a:prstGeom prst="rect">
                      <a:avLst/>
                    </a:prstGeom>
                  </pic:spPr>
                </pic:pic>
              </a:graphicData>
            </a:graphic>
          </wp:inline>
        </w:drawing>
      </w:r>
    </w:p>
    <w:p w:rsidR="00473421" w:rsidRPr="006F583E" w:rsidRDefault="00473421" w:rsidP="0075163D">
      <w:pPr>
        <w:pStyle w:val="FigureNote"/>
      </w:pPr>
      <w:r w:rsidRPr="00771BD0">
        <w:rPr>
          <w:i/>
        </w:rPr>
        <w:t>Note</w:t>
      </w:r>
      <w:r w:rsidRPr="006F583E">
        <w:t>: The age pattern is estimated using cohort and country fixed effects. On average across countries and cohorts, the Gini index falls between the 20-24 and the 25-29</w:t>
      </w:r>
      <w:r>
        <w:t> </w:t>
      </w:r>
      <w:r w:rsidRPr="006F583E">
        <w:t>age groups and then reaches a peak at age</w:t>
      </w:r>
      <w:r>
        <w:t> </w:t>
      </w:r>
      <w:r w:rsidRPr="006F583E">
        <w:t>55-59 at a level which is 3.5</w:t>
      </w:r>
      <w:r>
        <w:t> </w:t>
      </w:r>
      <w:r w:rsidRPr="006F583E">
        <w:t>points above that at age</w:t>
      </w:r>
      <w:r>
        <w:t> </w:t>
      </w:r>
      <w:r w:rsidRPr="006F583E">
        <w:t>20-24.</w:t>
      </w:r>
    </w:p>
    <w:p w:rsidR="00473421" w:rsidRDefault="00473421" w:rsidP="00AB4AB5">
      <w:pPr>
        <w:pStyle w:val="SourceDescription"/>
        <w:spacing w:after="120"/>
      </w:pPr>
      <w:r w:rsidRPr="00771BD0">
        <w:rPr>
          <w:i/>
        </w:rPr>
        <w:t>Source</w:t>
      </w:r>
      <w:r w:rsidRPr="006F583E">
        <w:t xml:space="preserve">: OECD calculations from </w:t>
      </w:r>
      <w:r>
        <w:t xml:space="preserve">the </w:t>
      </w:r>
      <w:r w:rsidRPr="00417E72">
        <w:t>Luxembourg Income Study</w:t>
      </w:r>
      <w:r w:rsidRPr="006F583E">
        <w:t xml:space="preserve"> data.</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59" w:history="1">
        <w:r w:rsidR="00117011" w:rsidRPr="00117011">
          <w:rPr>
            <w:rStyle w:val="Hipervnculo"/>
            <w:i/>
            <w:iCs/>
            <w:color w:val="0000FF"/>
            <w:sz w:val="14"/>
            <w:szCs w:val="14"/>
          </w:rPr>
          <w:t>http://dx.doi.org</w:t>
        </w:r>
      </w:hyperlink>
      <w:r w:rsidR="003B3C8E">
        <w:rPr>
          <w:rStyle w:val="Hipervnculo"/>
          <w:i/>
          <w:iCs/>
          <w:color w:val="0000FF"/>
          <w:sz w:val="14"/>
          <w:szCs w:val="14"/>
        </w:rPr>
        <w:t>/</w:t>
      </w:r>
      <w:r w:rsidR="003B3C8E" w:rsidRPr="003B3C8E">
        <w:rPr>
          <w:rStyle w:val="Hipervnculo"/>
          <w:i/>
          <w:iCs/>
          <w:color w:val="0000FF"/>
          <w:sz w:val="14"/>
          <w:szCs w:val="14"/>
        </w:rPr>
        <w:t>10.1787/888933566229</w:t>
      </w:r>
    </w:p>
    <w:p w:rsidR="00473421" w:rsidRPr="009641A3" w:rsidRDefault="00473421" w:rsidP="0075163D">
      <w:pPr>
        <w:pStyle w:val="Ttulo3"/>
      </w:pPr>
      <w:r w:rsidRPr="009641A3">
        <w:t xml:space="preserve">Early childhood is </w:t>
      </w:r>
      <w:r>
        <w:t>the starting point for lasting</w:t>
      </w:r>
      <w:r w:rsidRPr="009641A3">
        <w:t xml:space="preserve"> disadvantage</w:t>
      </w:r>
    </w:p>
    <w:p w:rsidR="00473421" w:rsidRDefault="00473421" w:rsidP="0075163D">
      <w:pPr>
        <w:pStyle w:val="Textodecuerpo"/>
      </w:pPr>
      <w:r>
        <w:t xml:space="preserve">Early-life health and socio-economic conditions lay the foundations for people’s future and are important predictors of future well-being </w:t>
      </w:r>
      <w:r w:rsidRPr="00A661C8">
        <w:t>(Dannefer, 2003</w:t>
      </w:r>
      <w:r>
        <w:t>; George and Ferraro, 2016). M</w:t>
      </w:r>
      <w:r w:rsidRPr="002469F6">
        <w:t xml:space="preserve">aterial, physical, </w:t>
      </w:r>
      <w:r>
        <w:t xml:space="preserve">and </w:t>
      </w:r>
      <w:r w:rsidRPr="002469F6">
        <w:t>educational</w:t>
      </w:r>
      <w:r>
        <w:t xml:space="preserve"> factors as well as</w:t>
      </w:r>
      <w:r w:rsidRPr="002469F6">
        <w:t xml:space="preserve"> living arrangements and </w:t>
      </w:r>
      <w:r>
        <w:t xml:space="preserve">the </w:t>
      </w:r>
      <w:r w:rsidRPr="002469F6">
        <w:t>composition</w:t>
      </w:r>
      <w:r>
        <w:t xml:space="preserve"> of families are important factors for c</w:t>
      </w:r>
      <w:r w:rsidRPr="002469F6">
        <w:t>hild well-being</w:t>
      </w:r>
      <w:r>
        <w:t>. Disadvantages in these dimensions reinforce each other.</w:t>
      </w:r>
      <w:r w:rsidDel="008C346A">
        <w:t xml:space="preserve"> </w:t>
      </w:r>
    </w:p>
    <w:p w:rsidR="00473421" w:rsidRDefault="00473421" w:rsidP="0075163D">
      <w:pPr>
        <w:pStyle w:val="Textodecuerpo"/>
      </w:pPr>
      <w:r w:rsidRPr="00F35C74">
        <w:t xml:space="preserve">Children </w:t>
      </w:r>
      <w:r>
        <w:t xml:space="preserve">aged between 11 and 15 years </w:t>
      </w:r>
      <w:r w:rsidRPr="00F35C74">
        <w:t>from poorer families are more likely to report poor health (18%) than those from affluent families (11%)</w:t>
      </w:r>
      <w:r>
        <w:t>,</w:t>
      </w:r>
      <w:r w:rsidRPr="00F35C74">
        <w:rPr>
          <w:rStyle w:val="Refdenotaalfinal"/>
        </w:rPr>
        <w:endnoteReference w:id="9"/>
      </w:r>
      <w:r w:rsidRPr="00F35C74">
        <w:t xml:space="preserve"> and show a rate of o</w:t>
      </w:r>
      <w:r>
        <w:t>verweight</w:t>
      </w:r>
      <w:r w:rsidRPr="00F35C74">
        <w:t xml:space="preserve"> that, at </w:t>
      </w:r>
      <w:r>
        <w:t>22</w:t>
      </w:r>
      <w:r w:rsidRPr="00F35C74">
        <w:t xml:space="preserve">%, is </w:t>
      </w:r>
      <w:r>
        <w:t xml:space="preserve">1.5 times </w:t>
      </w:r>
      <w:r w:rsidRPr="00F35C74">
        <w:t>the level among children from richer families</w:t>
      </w:r>
      <w:r>
        <w:t xml:space="preserve"> (Inchley et al., 2016)</w:t>
      </w:r>
      <w:r w:rsidRPr="00F35C74">
        <w:t xml:space="preserve">. </w:t>
      </w:r>
      <w:r>
        <w:t xml:space="preserve">Child </w:t>
      </w:r>
      <w:r w:rsidRPr="00004865">
        <w:t xml:space="preserve">poverty </w:t>
      </w:r>
      <w:r>
        <w:t xml:space="preserve">can </w:t>
      </w:r>
      <w:r w:rsidRPr="00004865">
        <w:t xml:space="preserve">damage brain development and </w:t>
      </w:r>
      <w:r>
        <w:t xml:space="preserve">reduce </w:t>
      </w:r>
      <w:r w:rsidRPr="00004865">
        <w:t>learning outcomes later on in life.</w:t>
      </w:r>
      <w:r>
        <w:t xml:space="preserve"> The brain develops rapidly in the earliest years of life, and its capacity to adapt and develop slows with age. A five-year-old’s level of self-regulation, oral language and communication, numeracy, fine motor skills, locus of control and </w:t>
      </w:r>
      <w:r>
        <w:lastRenderedPageBreak/>
        <w:t>social skills are predictive of their later outcomes in terms of employment, income, educational attainment and health (Schoon et al., forthcoming). Social and non-cognitive skills (e.g. personality traits, self-confidence and self-control, pro-social behaviour) also develop early; these skills are particularly important to adapt in the new world of work (Kautz et al., 2014).</w:t>
      </w:r>
    </w:p>
    <w:p w:rsidR="00473421" w:rsidRPr="00282FA9" w:rsidRDefault="00473421" w:rsidP="0075163D">
      <w:pPr>
        <w:pStyle w:val="Textodecuerpo"/>
      </w:pPr>
      <w:r w:rsidRPr="00282FA9">
        <w:t>Evidence for the United States suggests that the gap in child</w:t>
      </w:r>
      <w:r>
        <w:t xml:space="preserve"> </w:t>
      </w:r>
      <w:r w:rsidRPr="00282FA9">
        <w:t xml:space="preserve">outcomes between poorer and richer households has widened over time, mainly as a result of growing investment of time and resources by richer parents in the education and </w:t>
      </w:r>
      <w:r w:rsidRPr="00282FA9">
        <w:rPr>
          <w:i/>
        </w:rPr>
        <w:t>extra-curricular</w:t>
      </w:r>
      <w:r w:rsidRPr="00282FA9">
        <w:t xml:space="preserve"> activities of their children (Putnam, 2015). A striking example of the divide between poor and affluent children is the development of a large “vocab</w:t>
      </w:r>
      <w:r>
        <w:t>ulary</w:t>
      </w:r>
      <w:r w:rsidRPr="00282FA9">
        <w:t xml:space="preserve"> gap” already at a very young age: children growing up in poor neighbourhoods and/or from lower-income families in the United States may hear up to 30</w:t>
      </w:r>
      <w:r>
        <w:t> </w:t>
      </w:r>
      <w:r w:rsidRPr="00282FA9">
        <w:t>million fewer words than their affluent counterparts by age three (Fernald et al</w:t>
      </w:r>
      <w:r>
        <w:t>.</w:t>
      </w:r>
      <w:r w:rsidRPr="00282FA9">
        <w:t xml:space="preserve">, 2013). Children from more affluent families tend to develop better skills in </w:t>
      </w:r>
      <w:r>
        <w:t xml:space="preserve">reading and problem </w:t>
      </w:r>
      <w:r w:rsidRPr="00282FA9">
        <w:t xml:space="preserve">solving, are less likely to drop out of school without a diploma, and are more likely </w:t>
      </w:r>
      <w:r>
        <w:t>to complete tertiary education.</w:t>
      </w:r>
    </w:p>
    <w:p w:rsidR="00473421" w:rsidRPr="00A47B48" w:rsidRDefault="00473421" w:rsidP="0075163D">
      <w:pPr>
        <w:pStyle w:val="Ttulo3"/>
      </w:pPr>
      <w:r>
        <w:t>The mechanics of working-age disadvantage: links between h</w:t>
      </w:r>
      <w:r w:rsidRPr="00A47B48">
        <w:t>e</w:t>
      </w:r>
      <w:r>
        <w:t>alth and labour market outcomes</w:t>
      </w:r>
    </w:p>
    <w:p w:rsidR="00473421" w:rsidRDefault="00473421" w:rsidP="0075163D">
      <w:pPr>
        <w:pStyle w:val="Textodecuerpo"/>
      </w:pPr>
      <w:r>
        <w:t>Inequalities in adulthood are driven by an interaction of factors related to education, health, employment and incomes. A</w:t>
      </w:r>
      <w:r w:rsidRPr="008A6D38">
        <w:t xml:space="preserve">bout one third of all </w:t>
      </w:r>
      <w:r>
        <w:t>surveyed persons</w:t>
      </w:r>
      <w:r w:rsidRPr="008A6D38">
        <w:t xml:space="preserve"> </w:t>
      </w:r>
      <w:r>
        <w:t>in European countries, Australia, Korea and the United States</w:t>
      </w:r>
      <w:r w:rsidRPr="008A6D38">
        <w:t xml:space="preserve"> and one fifth of those employed report having less than good health. </w:t>
      </w:r>
      <w:r>
        <w:t>Not surprisingly, people become sicker as they age. While only</w:t>
      </w:r>
      <w:r w:rsidRPr="008A6D38">
        <w:t xml:space="preserve"> 11% </w:t>
      </w:r>
      <w:r>
        <w:t xml:space="preserve">of 20-year olds say their health is less than good, this share rises </w:t>
      </w:r>
      <w:r w:rsidRPr="008A6D38">
        <w:t>to 58% at age</w:t>
      </w:r>
      <w:r>
        <w:t> </w:t>
      </w:r>
      <w:r w:rsidRPr="008A6D38">
        <w:t>64</w:t>
      </w:r>
      <w:r>
        <w:t>; for those who are employed, the respective shares are 8% and 39%.</w:t>
      </w:r>
    </w:p>
    <w:p w:rsidR="00473421" w:rsidRDefault="00473421" w:rsidP="0075163D">
      <w:pPr>
        <w:pStyle w:val="Textodecuerpo"/>
      </w:pPr>
      <w:r w:rsidRPr="00AD063E">
        <w:t>Figure</w:t>
      </w:r>
      <w:r>
        <w:t> </w:t>
      </w:r>
      <w:r w:rsidRPr="00AD063E">
        <w:t>1.11 shows</w:t>
      </w:r>
      <w:r w:rsidRPr="00B17DCC">
        <w:t xml:space="preserve"> the </w:t>
      </w:r>
      <w:r>
        <w:t xml:space="preserve">differences </w:t>
      </w:r>
      <w:r w:rsidRPr="00B17DCC">
        <w:t>in employment rates</w:t>
      </w:r>
      <w:r>
        <w:t xml:space="preserve"> and </w:t>
      </w:r>
      <w:r w:rsidRPr="00B17DCC">
        <w:t xml:space="preserve">hourly wages </w:t>
      </w:r>
      <w:r>
        <w:t xml:space="preserve">along health status </w:t>
      </w:r>
      <w:r w:rsidRPr="00B17DCC">
        <w:t xml:space="preserve">for </w:t>
      </w:r>
      <w:r>
        <w:t xml:space="preserve">both </w:t>
      </w:r>
      <w:r w:rsidRPr="00B17DCC">
        <w:t>men and women</w:t>
      </w:r>
      <w:r>
        <w:t xml:space="preserve">. </w:t>
      </w:r>
      <w:r w:rsidRPr="00CA4551">
        <w:t>At all ages, men and women in bad health</w:t>
      </w:r>
      <w:r>
        <w:t xml:space="preserve"> work less</w:t>
      </w:r>
      <w:r w:rsidRPr="00CA4551">
        <w:t xml:space="preserve"> (Panel</w:t>
      </w:r>
      <w:r>
        <w:t> </w:t>
      </w:r>
      <w:r w:rsidRPr="00CA4551">
        <w:t>A)</w:t>
      </w:r>
      <w:r>
        <w:t>,</w:t>
      </w:r>
      <w:r w:rsidRPr="00CA4551">
        <w:t xml:space="preserve"> and </w:t>
      </w:r>
      <w:r>
        <w:t>earn less</w:t>
      </w:r>
      <w:r w:rsidRPr="00CA4551">
        <w:t xml:space="preserve"> </w:t>
      </w:r>
      <w:r>
        <w:t xml:space="preserve">when they work </w:t>
      </w:r>
      <w:r w:rsidRPr="00CA4551">
        <w:t>(Panel</w:t>
      </w:r>
      <w:r>
        <w:t> </w:t>
      </w:r>
      <w:r w:rsidRPr="00CA4551">
        <w:t>B)</w:t>
      </w:r>
      <w:r>
        <w:t xml:space="preserve">. The health-wage gap widens with age, compounding </w:t>
      </w:r>
      <w:r w:rsidRPr="00BA0C41">
        <w:t xml:space="preserve">disadvantage. </w:t>
      </w:r>
      <w:r>
        <w:t>Indeed, h</w:t>
      </w:r>
      <w:r w:rsidRPr="00BA0C41">
        <w:t>ealthy</w:t>
      </w:r>
      <w:r w:rsidRPr="00CA4551">
        <w:t xml:space="preserve"> workers, in particular males, see their wages increase more steeply with age (Panel</w:t>
      </w:r>
      <w:r>
        <w:t> B</w:t>
      </w:r>
      <w:r w:rsidRPr="00CA4551">
        <w:t xml:space="preserve">). </w:t>
      </w:r>
      <w:r>
        <w:t>Health-employment gaps – in percent – are three times larger than health-</w:t>
      </w:r>
      <w:r w:rsidRPr="009805DE">
        <w:t>wage gaps</w:t>
      </w:r>
      <w:r>
        <w:t>, on average</w:t>
      </w:r>
      <w:r w:rsidRPr="009805DE">
        <w:t>.</w:t>
      </w:r>
      <w:r>
        <w:t xml:space="preserve"> They are broadly stable until the age of 45, at around 25-35</w:t>
      </w:r>
      <w:r w:rsidRPr="00682597">
        <w:t xml:space="preserve">% for </w:t>
      </w:r>
      <w:r>
        <w:t xml:space="preserve">both </w:t>
      </w:r>
      <w:r w:rsidRPr="00682597">
        <w:t xml:space="preserve">men and </w:t>
      </w:r>
      <w:r>
        <w:t>women. After age 55, e</w:t>
      </w:r>
      <w:r w:rsidRPr="00CA4551">
        <w:t>mployment</w:t>
      </w:r>
      <w:r>
        <w:t xml:space="preserve"> </w:t>
      </w:r>
      <w:r w:rsidRPr="00CA4551">
        <w:t>falls sharply for men a</w:t>
      </w:r>
      <w:r>
        <w:t>nd women both in good and bad health, but the gap widens to more than 50% from age 60</w:t>
      </w:r>
      <w:r w:rsidRPr="00CA4551">
        <w:t>.</w:t>
      </w:r>
    </w:p>
    <w:p w:rsidR="0075163D" w:rsidRDefault="0075163D" w:rsidP="0075163D">
      <w:pPr>
        <w:pStyle w:val="Textodecuerpo"/>
      </w:pPr>
      <w:r>
        <w:t xml:space="preserve">This association between health and labour market outcomes cuts both ways: health problems can cause problems at work and trigger earnings losses, but work can also damage people’s health. Health affects earnings and employment through its impact on educational attainment, and has on top a direct effect on labour market outcomes, which differs across educational groups. To disentangle the impact of health on employment and wages, the path of </w:t>
      </w:r>
      <w:r w:rsidRPr="006C2EFE">
        <w:t>earnings between the age of 20 and</w:t>
      </w:r>
      <w:r>
        <w:t> </w:t>
      </w:r>
      <w:r w:rsidRPr="006C2EFE">
        <w:t>67</w:t>
      </w:r>
      <w:r>
        <w:t xml:space="preserve"> has been estimated,</w:t>
      </w:r>
      <w:r w:rsidRPr="006C2EFE">
        <w:t xml:space="preserve"> taking into account the wage and employment effects of bad health</w:t>
      </w:r>
      <w:r>
        <w:t>,</w:t>
      </w:r>
      <w:r w:rsidRPr="006C2EFE">
        <w:t xml:space="preserve"> for selected typical cases</w:t>
      </w:r>
      <w:r>
        <w:t xml:space="preserve"> with different</w:t>
      </w:r>
      <w:r w:rsidRPr="006C2EFE">
        <w:t xml:space="preserve"> health status (bad versus good), education levels (low, medium and high) and </w:t>
      </w:r>
      <w:r w:rsidRPr="00FA7B70">
        <w:t>gender.</w:t>
      </w:r>
      <w:r>
        <w:rPr>
          <w:rStyle w:val="Refdenotaalfinal"/>
        </w:rPr>
        <w:endnoteReference w:id="10"/>
      </w:r>
      <w:r w:rsidRPr="00FA7B70">
        <w:t xml:space="preserve"> Bad health is found to lower the probability of working for both men and women</w:t>
      </w:r>
      <w:r>
        <w:t>, and to</w:t>
      </w:r>
      <w:r w:rsidRPr="00FA7B70">
        <w:t xml:space="preserve"> reduce wages for men but not for women.</w:t>
      </w:r>
    </w:p>
    <w:p w:rsidR="00473421" w:rsidRDefault="00473421" w:rsidP="0075163D">
      <w:pPr>
        <w:pStyle w:val="FigureTitle"/>
      </w:pPr>
      <w:bookmarkStart w:id="33" w:name="_Toc493088643"/>
      <w:r w:rsidRPr="00CA6AF1">
        <w:lastRenderedPageBreak/>
        <w:t xml:space="preserve">Figure 1.11. </w:t>
      </w:r>
      <w:r>
        <w:t>People in bad health work less and earn less at all ages</w:t>
      </w:r>
      <w:bookmarkEnd w:id="33"/>
    </w:p>
    <w:p w:rsidR="00C3202C" w:rsidRPr="004B67AC" w:rsidRDefault="00C3202C" w:rsidP="00C3202C">
      <w:pPr>
        <w:pStyle w:val="FigureSub-title"/>
      </w:pPr>
      <w:r w:rsidRPr="004B67AC">
        <w:t>Panel A. Employment rate by gender, age and self-reported health</w:t>
      </w:r>
    </w:p>
    <w:p w:rsidR="00C3202C" w:rsidRDefault="00C3202C" w:rsidP="00C3202C">
      <w:pPr>
        <w:pStyle w:val="FigureSub-title"/>
      </w:pPr>
      <w:r w:rsidRPr="004B67AC">
        <w:rPr>
          <w:noProof/>
          <w:lang w:val="es-ES" w:eastAsia="es-ES"/>
        </w:rPr>
        <w:drawing>
          <wp:inline distT="0" distB="0" distL="0" distR="0" wp14:anchorId="5C03FFFB" wp14:editId="208028B6">
            <wp:extent cx="4889305" cy="2453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2890" cy="2455439"/>
                    </a:xfrm>
                    <a:prstGeom prst="rect">
                      <a:avLst/>
                    </a:prstGeom>
                    <a:noFill/>
                    <a:ln>
                      <a:noFill/>
                    </a:ln>
                  </pic:spPr>
                </pic:pic>
              </a:graphicData>
            </a:graphic>
          </wp:inline>
        </w:drawing>
      </w:r>
    </w:p>
    <w:p w:rsidR="00C3202C" w:rsidRPr="004B67AC" w:rsidRDefault="00C3202C" w:rsidP="00C3202C">
      <w:pPr>
        <w:pStyle w:val="FigureSub-title"/>
      </w:pPr>
      <w:r w:rsidRPr="004B67AC">
        <w:t>Panel B. Normalised hourly earnings by gender, age and self-reported health</w:t>
      </w:r>
    </w:p>
    <w:p w:rsidR="00C3202C" w:rsidRPr="004B67AC" w:rsidRDefault="00C3202C" w:rsidP="00C3202C">
      <w:pPr>
        <w:pStyle w:val="FigureSub-title"/>
      </w:pPr>
      <w:r w:rsidRPr="004B67AC">
        <w:rPr>
          <w:noProof/>
          <w:lang w:val="es-ES" w:eastAsia="es-ES"/>
        </w:rPr>
        <w:drawing>
          <wp:inline distT="0" distB="0" distL="0" distR="0" wp14:anchorId="6FA69080" wp14:editId="64027C27">
            <wp:extent cx="4892040" cy="230213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2040" cy="2302136"/>
                    </a:xfrm>
                    <a:prstGeom prst="rect">
                      <a:avLst/>
                    </a:prstGeom>
                    <a:noFill/>
                    <a:ln>
                      <a:noFill/>
                    </a:ln>
                  </pic:spPr>
                </pic:pic>
              </a:graphicData>
            </a:graphic>
          </wp:inline>
        </w:drawing>
      </w:r>
    </w:p>
    <w:p w:rsidR="00473421" w:rsidRDefault="00473421" w:rsidP="0075163D">
      <w:pPr>
        <w:pStyle w:val="FigureNote"/>
        <w:spacing w:before="120"/>
      </w:pPr>
      <w:r w:rsidRPr="00771BD0">
        <w:rPr>
          <w:i/>
        </w:rPr>
        <w:t>Note</w:t>
      </w:r>
      <w:r>
        <w:t>:</w:t>
      </w:r>
      <w:r w:rsidRPr="008A32E3">
        <w:t xml:space="preserve"> Individual hourly earnings are divided by the corresponding country-year mean and multiplied by 100.</w:t>
      </w:r>
    </w:p>
    <w:p w:rsidR="00473421" w:rsidRDefault="00473421" w:rsidP="00AB4AB5">
      <w:pPr>
        <w:pStyle w:val="SourceDescription"/>
        <w:spacing w:after="120"/>
      </w:pPr>
      <w:r w:rsidRPr="00771BD0">
        <w:rPr>
          <w:i/>
          <w:iCs/>
        </w:rPr>
        <w:t>Source</w:t>
      </w:r>
      <w:r w:rsidRPr="0075442B">
        <w:t>: OECD calculations based on micro data covering 24</w:t>
      </w:r>
      <w:r>
        <w:t> </w:t>
      </w:r>
      <w:r w:rsidRPr="0075442B">
        <w:t xml:space="preserve">OECD countries </w:t>
      </w:r>
      <w:r>
        <w:t xml:space="preserve">including </w:t>
      </w:r>
      <w:r w:rsidRPr="0075442B">
        <w:t>Australia, European countries, Korea an</w:t>
      </w:r>
      <w:r>
        <w:t>d the United States (see text).</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62"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10.1787/888933566248</w:t>
      </w:r>
    </w:p>
    <w:p w:rsidR="00473421" w:rsidRDefault="00473421" w:rsidP="0075163D">
      <w:pPr>
        <w:pStyle w:val="Textodecuerpo"/>
      </w:pPr>
      <w:r>
        <w:t>Figure 1.12</w:t>
      </w:r>
      <w:r w:rsidRPr="002E32DE">
        <w:t xml:space="preserve"> shows lifetime </w:t>
      </w:r>
      <w:r>
        <w:t xml:space="preserve">labour </w:t>
      </w:r>
      <w:r w:rsidRPr="002E32DE">
        <w:t xml:space="preserve">earnings for different typical cases, </w:t>
      </w:r>
      <w:r>
        <w:t xml:space="preserve">taking as a baseline the lifetime earnings of </w:t>
      </w:r>
      <w:r w:rsidRPr="002E32DE">
        <w:t>medium-educat</w:t>
      </w:r>
      <w:r>
        <w:t>ed</w:t>
      </w:r>
      <w:r w:rsidRPr="002E32DE">
        <w:t xml:space="preserve"> men in good health. </w:t>
      </w:r>
      <w:r>
        <w:t>E</w:t>
      </w:r>
      <w:r w:rsidRPr="002E32DE">
        <w:t xml:space="preserve">mployment risks due to bad health are factored in but otherwise those typical cases assume that individuals </w:t>
      </w:r>
      <w:r>
        <w:t>work</w:t>
      </w:r>
      <w:r w:rsidRPr="002E32DE">
        <w:t xml:space="preserve"> a full career. </w:t>
      </w:r>
      <w:r>
        <w:t xml:space="preserve">Low-educated people’s earnings are affected the strongest by bad health, mostly due to employment losses. </w:t>
      </w:r>
      <w:r w:rsidRPr="00A6681E">
        <w:t>Over</w:t>
      </w:r>
      <w:r>
        <w:t xml:space="preserve"> the whole career</w:t>
      </w:r>
      <w:r w:rsidRPr="00A6681E">
        <w:t xml:space="preserve">, bad health </w:t>
      </w:r>
      <w:r>
        <w:t>reduces</w:t>
      </w:r>
      <w:r w:rsidRPr="00A6681E">
        <w:t xml:space="preserve"> lifetime earnings by 3</w:t>
      </w:r>
      <w:r>
        <w:t>3 and 17</w:t>
      </w:r>
      <w:r w:rsidRPr="00A6681E">
        <w:t xml:space="preserve">% for </w:t>
      </w:r>
      <w:r>
        <w:t xml:space="preserve">men </w:t>
      </w:r>
      <w:r w:rsidRPr="00A6681E">
        <w:t>with low and high levels of education, respectively</w:t>
      </w:r>
      <w:r>
        <w:t>.</w:t>
      </w:r>
      <w:r w:rsidRPr="00A6681E">
        <w:t xml:space="preserve"> The health effects are </w:t>
      </w:r>
      <w:r>
        <w:t xml:space="preserve">much </w:t>
      </w:r>
      <w:r w:rsidRPr="00A6681E">
        <w:t xml:space="preserve">smaller </w:t>
      </w:r>
      <w:r>
        <w:t xml:space="preserve">for women, at 18 </w:t>
      </w:r>
      <w:r w:rsidRPr="00C77085">
        <w:t xml:space="preserve">and 13%, respectively, as employment risks due to bad health are more limited for female workers. </w:t>
      </w:r>
      <w:r>
        <w:t>W</w:t>
      </w:r>
      <w:r w:rsidRPr="00C77085">
        <w:t xml:space="preserve">omen’s employment patterns depend more </w:t>
      </w:r>
      <w:r>
        <w:t xml:space="preserve">than men’s </w:t>
      </w:r>
      <w:r w:rsidRPr="00C77085">
        <w:t>on other factors, such as caring responsibilities</w:t>
      </w:r>
      <w:r>
        <w:t xml:space="preserve">, and less </w:t>
      </w:r>
      <w:r w:rsidRPr="00C77085">
        <w:t>on their own health status</w:t>
      </w:r>
      <w:r>
        <w:t>, for example because their partner’s income plays a greater role and due to less physically demanding working conditions.</w:t>
      </w:r>
    </w:p>
    <w:p w:rsidR="00473421" w:rsidRPr="002C22CA" w:rsidRDefault="00473421" w:rsidP="0075163D">
      <w:pPr>
        <w:pStyle w:val="Textodecuerpo"/>
      </w:pPr>
      <w:r>
        <w:lastRenderedPageBreak/>
        <w:t>Nevertheless, bad health lowers female’s earnings, thereby compounding gender gaps (</w:t>
      </w:r>
      <w:r w:rsidRPr="008D6925">
        <w:rPr>
          <w:rStyle w:val="TextodecuerpoCar"/>
        </w:rPr>
        <w:t>Figure</w:t>
      </w:r>
      <w:r>
        <w:rPr>
          <w:rStyle w:val="TextodecuerpoCar"/>
        </w:rPr>
        <w:t> </w:t>
      </w:r>
      <w:r w:rsidRPr="008D6925">
        <w:rPr>
          <w:rStyle w:val="TextodecuerpoCar"/>
        </w:rPr>
        <w:t>1.12</w:t>
      </w:r>
      <w:r>
        <w:rPr>
          <w:rStyle w:val="TextodecuerpoCar"/>
        </w:rPr>
        <w:t>)</w:t>
      </w:r>
      <w:r w:rsidRPr="008D6925">
        <w:rPr>
          <w:rStyle w:val="TextodecuerpoCar"/>
        </w:rPr>
        <w:t xml:space="preserve">. Women in good health with medium education start with a 16% </w:t>
      </w:r>
      <w:r w:rsidR="002A244C">
        <w:rPr>
          <w:rStyle w:val="TextodecuerpoCar"/>
        </w:rPr>
        <w:t xml:space="preserve">lifetime </w:t>
      </w:r>
      <w:r w:rsidRPr="008D6925">
        <w:rPr>
          <w:rStyle w:val="TextodecuerpoCar"/>
        </w:rPr>
        <w:t>earnings gap compared to</w:t>
      </w:r>
      <w:r>
        <w:t xml:space="preserve"> their male peers. Being in</w:t>
      </w:r>
      <w:r w:rsidRPr="002C22CA">
        <w:t xml:space="preserve"> bad health </w:t>
      </w:r>
      <w:r>
        <w:t xml:space="preserve">further </w:t>
      </w:r>
      <w:r w:rsidRPr="002C22CA">
        <w:t>reduce</w:t>
      </w:r>
      <w:r>
        <w:t>s</w:t>
      </w:r>
      <w:r w:rsidRPr="002C22CA">
        <w:t xml:space="preserve"> </w:t>
      </w:r>
      <w:r>
        <w:t xml:space="preserve">these women’s </w:t>
      </w:r>
      <w:r w:rsidRPr="002C22CA">
        <w:t xml:space="preserve">lifetime earnings </w:t>
      </w:r>
      <w:r>
        <w:t xml:space="preserve">by </w:t>
      </w:r>
      <w:r w:rsidR="002A244C">
        <w:t>19</w:t>
      </w:r>
      <w:r>
        <w:t xml:space="preserve">%. </w:t>
      </w:r>
      <w:r w:rsidRPr="002C22CA">
        <w:t>Overall, a high-education (medium-education) woman with bad health has comparable lifetime earnings to that of a medium-education (low-education) woman with good health</w:t>
      </w:r>
      <w:r>
        <w:t>.</w:t>
      </w:r>
    </w:p>
    <w:p w:rsidR="00473421" w:rsidRDefault="00473421" w:rsidP="0075163D">
      <w:pPr>
        <w:pStyle w:val="FigureTitle"/>
      </w:pPr>
      <w:bookmarkStart w:id="34" w:name="_Toc493088644"/>
      <w:r w:rsidRPr="0049735E">
        <w:t>Figure 1.</w:t>
      </w:r>
      <w:r>
        <w:t>12</w:t>
      </w:r>
      <w:r w:rsidRPr="0049735E">
        <w:t xml:space="preserve">. Impact of health on lifetime </w:t>
      </w:r>
      <w:r>
        <w:t xml:space="preserve">labour </w:t>
      </w:r>
      <w:r w:rsidRPr="0049735E">
        <w:t>earnings by education level</w:t>
      </w:r>
      <w:bookmarkEnd w:id="34"/>
    </w:p>
    <w:p w:rsidR="00473421" w:rsidRPr="00232122" w:rsidRDefault="00473421" w:rsidP="0075163D">
      <w:pPr>
        <w:pStyle w:val="FigureSub-title"/>
        <w:spacing w:after="240"/>
      </w:pPr>
      <w:r w:rsidRPr="00232122">
        <w:t>Average across countries, 100 = Lifetime earnings for a man in good health with a medium education level</w:t>
      </w:r>
    </w:p>
    <w:p w:rsidR="001713DD" w:rsidRDefault="000240DE" w:rsidP="000240DE">
      <w:pPr>
        <w:pStyle w:val="FigureNote"/>
        <w:spacing w:before="120"/>
        <w:jc w:val="center"/>
        <w:rPr>
          <w:i/>
        </w:rPr>
      </w:pPr>
      <w:r w:rsidRPr="000240DE">
        <w:rPr>
          <w:noProof/>
          <w:lang w:val="es-ES" w:eastAsia="es-ES"/>
        </w:rPr>
        <w:drawing>
          <wp:inline distT="0" distB="0" distL="0" distR="0" wp14:anchorId="4E61D589" wp14:editId="1A49BBCB">
            <wp:extent cx="5783580" cy="25755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3580" cy="2575560"/>
                    </a:xfrm>
                    <a:prstGeom prst="rect">
                      <a:avLst/>
                    </a:prstGeom>
                    <a:noFill/>
                    <a:ln>
                      <a:noFill/>
                    </a:ln>
                  </pic:spPr>
                </pic:pic>
              </a:graphicData>
            </a:graphic>
          </wp:inline>
        </w:drawing>
      </w:r>
    </w:p>
    <w:p w:rsidR="00473421" w:rsidRPr="005B03CB" w:rsidRDefault="00473421" w:rsidP="0075163D">
      <w:pPr>
        <w:pStyle w:val="FigureNote"/>
        <w:spacing w:before="120"/>
      </w:pPr>
      <w:r w:rsidRPr="00771BD0">
        <w:rPr>
          <w:i/>
        </w:rPr>
        <w:t>Note</w:t>
      </w:r>
      <w:r>
        <w:t>:</w:t>
      </w:r>
      <w:r w:rsidRPr="008A32E3">
        <w:t xml:space="preserve"> </w:t>
      </w:r>
      <w:r>
        <w:t xml:space="preserve">Details about the estimated impact of bad health on labour market outcomes by gender and education level and about the computation of lifetime earnings are found in Chapter 2. Lifetime earnings are normalised such that a full-career medium-education </w:t>
      </w:r>
      <w:r w:rsidRPr="005B03CB">
        <w:t>man in good health has a real lifetime earnings of 100.</w:t>
      </w:r>
    </w:p>
    <w:p w:rsidR="00473421" w:rsidRPr="001512CF" w:rsidRDefault="00473421" w:rsidP="00AB4AB5">
      <w:pPr>
        <w:pStyle w:val="SourceDescription"/>
        <w:spacing w:after="120"/>
        <w:rPr>
          <w:lang w:val="fr-FR"/>
        </w:rPr>
      </w:pPr>
      <w:r w:rsidRPr="001512CF">
        <w:rPr>
          <w:i/>
          <w:lang w:val="fr-FR"/>
        </w:rPr>
        <w:t>Source</w:t>
      </w:r>
      <w:r w:rsidRPr="001512CF">
        <w:rPr>
          <w:lang w:val="fr-FR"/>
        </w:rPr>
        <w:t>: OECD estimates.</w:t>
      </w:r>
    </w:p>
    <w:p w:rsidR="00117011" w:rsidRPr="001512CF" w:rsidRDefault="00AB4AB5" w:rsidP="00AB4AB5">
      <w:pPr>
        <w:autoSpaceDE w:val="0"/>
        <w:autoSpaceDN w:val="0"/>
        <w:adjustRightInd w:val="0"/>
        <w:spacing w:after="240"/>
        <w:jc w:val="right"/>
        <w:rPr>
          <w:i/>
          <w:iCs/>
          <w:color w:val="000000"/>
          <w:sz w:val="14"/>
          <w:szCs w:val="14"/>
          <w:lang w:val="fr-FR"/>
        </w:rPr>
      </w:pPr>
      <w:r w:rsidRPr="001512CF">
        <w:rPr>
          <w:rFonts w:ascii="StatLink" w:hAnsi="StatLink" w:cs="StatLink"/>
          <w:color w:val="000000"/>
          <w:sz w:val="14"/>
          <w:szCs w:val="14"/>
          <w:lang w:val="fr-FR"/>
        </w:rPr>
        <w:t>1 2</w:t>
      </w:r>
      <w:r w:rsidRPr="001512CF">
        <w:rPr>
          <w:rFonts w:ascii="StatLink" w:hAnsi="StatLink" w:cs="StatLink"/>
          <w:color w:val="0000FF"/>
          <w:sz w:val="14"/>
          <w:szCs w:val="14"/>
          <w:lang w:val="fr-FR"/>
        </w:rPr>
        <w:t xml:space="preserve"> </w:t>
      </w:r>
      <w:hyperlink r:id="rId64" w:history="1">
        <w:r w:rsidR="00117011" w:rsidRPr="001512CF">
          <w:rPr>
            <w:rStyle w:val="Hipervnculo"/>
            <w:i/>
            <w:iCs/>
            <w:color w:val="0000FF"/>
            <w:sz w:val="14"/>
            <w:szCs w:val="14"/>
            <w:lang w:val="fr-FR"/>
          </w:rPr>
          <w:t>http://dx.doi.org/</w:t>
        </w:r>
      </w:hyperlink>
      <w:r w:rsidR="003B3C8E" w:rsidRPr="001512CF">
        <w:rPr>
          <w:rStyle w:val="Hipervnculo"/>
          <w:i/>
          <w:iCs/>
          <w:color w:val="0000FF"/>
          <w:sz w:val="14"/>
          <w:szCs w:val="14"/>
          <w:lang w:val="fr-FR"/>
        </w:rPr>
        <w:t>10.1787/888933566267</w:t>
      </w:r>
    </w:p>
    <w:p w:rsidR="00473421" w:rsidRDefault="00473421" w:rsidP="0075163D">
      <w:pPr>
        <w:pStyle w:val="Textodecuerpo"/>
        <w:rPr>
          <w:highlight w:val="yellow"/>
        </w:rPr>
      </w:pPr>
      <w:r w:rsidRPr="009D76D4">
        <w:t>Health disparities along socio</w:t>
      </w:r>
      <w:r w:rsidR="00B54C38">
        <w:t>-</w:t>
      </w:r>
      <w:r w:rsidRPr="009D76D4">
        <w:t xml:space="preserve">economic lines increase with age until around the </w:t>
      </w:r>
      <w:r>
        <w:t>mid-6</w:t>
      </w:r>
      <w:r w:rsidRPr="009D76D4">
        <w:t>0s and then decli</w:t>
      </w:r>
      <w:r>
        <w:t xml:space="preserve">ne at older ages (Herd, 2006). However, </w:t>
      </w:r>
      <w:r w:rsidRPr="0031785C">
        <w:t xml:space="preserve">less advantaged groups of people tend to die earlier on average </w:t>
      </w:r>
      <w:r>
        <w:t xml:space="preserve">(and participate less in surveys due to health limitations), potentially </w:t>
      </w:r>
      <w:r w:rsidRPr="0031785C">
        <w:t xml:space="preserve">leading </w:t>
      </w:r>
      <w:r w:rsidRPr="0031785C">
        <w:rPr>
          <w:i/>
        </w:rPr>
        <w:t>ceteris paribus</w:t>
      </w:r>
      <w:r w:rsidRPr="0031785C">
        <w:t xml:space="preserve"> to a reduction of inequality among </w:t>
      </w:r>
      <w:r>
        <w:t xml:space="preserve">those who </w:t>
      </w:r>
      <w:r w:rsidRPr="0031785C">
        <w:t>surviv</w:t>
      </w:r>
      <w:r>
        <w:t>e to older ages</w:t>
      </w:r>
      <w:r w:rsidRPr="0031785C">
        <w:t>.</w:t>
      </w:r>
      <w:r>
        <w:t xml:space="preserve"> Most studies find that correcting for this selective mortality weakens but does not eliminate completely the decline of health disparities beyond a certain age.</w:t>
      </w:r>
    </w:p>
    <w:p w:rsidR="00473421" w:rsidRPr="00A1261F" w:rsidRDefault="00473421" w:rsidP="0075163D">
      <w:pPr>
        <w:pStyle w:val="Ttulo3"/>
      </w:pPr>
      <w:r>
        <w:t xml:space="preserve">Making the </w:t>
      </w:r>
      <w:r w:rsidRPr="00A1261F">
        <w:t>work</w:t>
      </w:r>
      <w:r>
        <w:t>-</w:t>
      </w:r>
      <w:r w:rsidRPr="00A1261F">
        <w:t>to</w:t>
      </w:r>
      <w:r>
        <w:t>-</w:t>
      </w:r>
      <w:r w:rsidRPr="00A1261F">
        <w:t>retirement</w:t>
      </w:r>
      <w:r>
        <w:t xml:space="preserve"> transition</w:t>
      </w:r>
    </w:p>
    <w:p w:rsidR="00473421" w:rsidRPr="00BA619B" w:rsidRDefault="00473421" w:rsidP="0075163D">
      <w:pPr>
        <w:pStyle w:val="Textodecuerpo"/>
      </w:pPr>
      <w:r w:rsidRPr="00BA619B">
        <w:t xml:space="preserve">The transition from work to retirement is a decisive moment </w:t>
      </w:r>
      <w:r>
        <w:t>which can reinforce and cement inequalities</w:t>
      </w:r>
      <w:r w:rsidRPr="00BA619B">
        <w:t xml:space="preserve">. Identifying and quantifying the obstacles that prevent people </w:t>
      </w:r>
      <w:r>
        <w:t>in different socio</w:t>
      </w:r>
      <w:r w:rsidR="00B54C38">
        <w:t>-</w:t>
      </w:r>
      <w:r>
        <w:t xml:space="preserve">economic groups </w:t>
      </w:r>
      <w:r w:rsidRPr="00BA619B">
        <w:t xml:space="preserve">from working longer is </w:t>
      </w:r>
      <w:r>
        <w:t xml:space="preserve">thus </w:t>
      </w:r>
      <w:r w:rsidRPr="00BA619B">
        <w:t xml:space="preserve">essential. Not all retirement is voluntary and many workers leave the labour market before </w:t>
      </w:r>
      <w:r>
        <w:t>having</w:t>
      </w:r>
      <w:r w:rsidRPr="00BA619B">
        <w:t xml:space="preserve"> full pension</w:t>
      </w:r>
      <w:r>
        <w:t xml:space="preserve"> rights</w:t>
      </w:r>
      <w:r w:rsidRPr="00BA619B">
        <w:t xml:space="preserve">, running the risk of low retirement income </w:t>
      </w:r>
      <w:r>
        <w:t>and old-age poverty.</w:t>
      </w:r>
      <w:r w:rsidRPr="00BA619B">
        <w:t xml:space="preserve"> </w:t>
      </w:r>
    </w:p>
    <w:p w:rsidR="00473421" w:rsidRPr="00D9596A" w:rsidRDefault="00473421" w:rsidP="0075163D">
      <w:pPr>
        <w:pStyle w:val="Textodecuerpo"/>
      </w:pPr>
      <w:r w:rsidRPr="00D9596A">
        <w:t>While life expectancy at age</w:t>
      </w:r>
      <w:r>
        <w:t> </w:t>
      </w:r>
      <w:r w:rsidRPr="00D9596A">
        <w:t>65 was increasing rapidly</w:t>
      </w:r>
      <w:r>
        <w:t xml:space="preserve"> </w:t>
      </w:r>
      <w:r w:rsidRPr="00D9596A">
        <w:t xml:space="preserve">between the mid-1970s and the late 1990s, the average effective labour market exit age fell by more than </w:t>
      </w:r>
      <w:r w:rsidR="00A9006E">
        <w:t>four </w:t>
      </w:r>
      <w:r w:rsidRPr="00D9596A">
        <w:t>years</w:t>
      </w:r>
      <w:r>
        <w:t>,</w:t>
      </w:r>
      <w:r w:rsidRPr="00D9596A">
        <w:t xml:space="preserve"> </w:t>
      </w:r>
      <w:r>
        <w:lastRenderedPageBreak/>
        <w:t>on average in OECD countries</w:t>
      </w:r>
      <w:r w:rsidRPr="00D9596A">
        <w:t xml:space="preserve">. </w:t>
      </w:r>
      <w:r>
        <w:t xml:space="preserve">Since 2000 the </w:t>
      </w:r>
      <w:r w:rsidRPr="00D9596A">
        <w:t xml:space="preserve">trend </w:t>
      </w:r>
      <w:r>
        <w:t xml:space="preserve">has been </w:t>
      </w:r>
      <w:r w:rsidRPr="00D9596A">
        <w:t>revers</w:t>
      </w:r>
      <w:r>
        <w:t>ing in most countries</w:t>
      </w:r>
      <w:r w:rsidRPr="00D9596A">
        <w:t xml:space="preserve">, </w:t>
      </w:r>
      <w:r>
        <w:t>but workers</w:t>
      </w:r>
      <w:r w:rsidRPr="00D9596A">
        <w:t xml:space="preserve"> still leave the labour market earlier than they did 40 years ago.</w:t>
      </w:r>
      <w:r>
        <w:rPr>
          <w:rStyle w:val="Refdenotaalfinal"/>
        </w:rPr>
        <w:endnoteReference w:id="11"/>
      </w:r>
    </w:p>
    <w:p w:rsidR="00473421" w:rsidRPr="00262774" w:rsidRDefault="00473421" w:rsidP="0075163D">
      <w:pPr>
        <w:pStyle w:val="Textodecuerpo"/>
      </w:pPr>
      <w:r w:rsidRPr="002E3F06">
        <w:t xml:space="preserve">Labour market participation differs strongly across age groups, educational levels, gender and countries, even when remaining life expectancies are similar. </w:t>
      </w:r>
      <w:r>
        <w:rPr>
          <w:lang w:bidi="en-US"/>
        </w:rPr>
        <w:t>H</w:t>
      </w:r>
      <w:r w:rsidRPr="00D11C43">
        <w:rPr>
          <w:lang w:bidi="en-US"/>
        </w:rPr>
        <w:t xml:space="preserve">ealth </w:t>
      </w:r>
      <w:r w:rsidRPr="001E6BFD">
        <w:rPr>
          <w:i/>
          <w:lang w:bidi="en-US"/>
        </w:rPr>
        <w:t>at a given age</w:t>
      </w:r>
      <w:r>
        <w:rPr>
          <w:lang w:bidi="en-US"/>
        </w:rPr>
        <w:t xml:space="preserve"> is </w:t>
      </w:r>
      <w:r w:rsidRPr="00D11C43">
        <w:rPr>
          <w:lang w:bidi="en-US"/>
        </w:rPr>
        <w:t xml:space="preserve">significant </w:t>
      </w:r>
      <w:r>
        <w:rPr>
          <w:lang w:bidi="en-US"/>
        </w:rPr>
        <w:t>for the retirement decision: about 26% of men and women who are in work four years before the normal pension age are likely to retire at least two years early when they are</w:t>
      </w:r>
      <w:r w:rsidR="007F1DB2">
        <w:rPr>
          <w:lang w:bidi="en-US"/>
        </w:rPr>
        <w:t xml:space="preserve"> in bad health, compared with 14</w:t>
      </w:r>
      <w:r>
        <w:rPr>
          <w:lang w:bidi="en-US"/>
        </w:rPr>
        <w:t>% of those in good health</w:t>
      </w:r>
      <w:r w:rsidRPr="00A0034F">
        <w:rPr>
          <w:lang w:bidi="en-US"/>
        </w:rPr>
        <w:t>.</w:t>
      </w:r>
      <w:r w:rsidRPr="00A0034F">
        <w:rPr>
          <w:rStyle w:val="Refdenotaalfinal"/>
          <w:lang w:bidi="en-US"/>
        </w:rPr>
        <w:endnoteReference w:id="12"/>
      </w:r>
      <w:r>
        <w:rPr>
          <w:lang w:bidi="en-US"/>
        </w:rPr>
        <w:t xml:space="preserve"> But health limitations only explain part of </w:t>
      </w:r>
      <w:r>
        <w:t xml:space="preserve">the sharp decline of employment rates from age 55; other factors are also at play reducing participation of older workers, especially those with lower socio-economic status. A </w:t>
      </w:r>
      <w:r>
        <w:rPr>
          <w:lang w:bidi="en-US"/>
        </w:rPr>
        <w:t>workers’ e</w:t>
      </w:r>
      <w:r w:rsidRPr="002E3F06">
        <w:rPr>
          <w:lang w:bidi="en-US"/>
        </w:rPr>
        <w:t xml:space="preserve">ducation </w:t>
      </w:r>
      <w:r>
        <w:rPr>
          <w:lang w:bidi="en-US"/>
        </w:rPr>
        <w:t>level influences the retirement decision as well. L</w:t>
      </w:r>
      <w:r w:rsidRPr="002E3F06">
        <w:rPr>
          <w:lang w:bidi="en-US"/>
        </w:rPr>
        <w:t xml:space="preserve">ow-educated people are </w:t>
      </w:r>
      <w:r>
        <w:rPr>
          <w:lang w:bidi="en-US"/>
        </w:rPr>
        <w:t xml:space="preserve">found to be </w:t>
      </w:r>
      <w:r w:rsidRPr="002E3F06">
        <w:rPr>
          <w:lang w:bidi="en-US"/>
        </w:rPr>
        <w:t xml:space="preserve">more likely to retire when they reach the retirement age </w:t>
      </w:r>
      <w:r w:rsidRPr="00823149">
        <w:rPr>
          <w:lang w:bidi="en-US"/>
        </w:rPr>
        <w:t xml:space="preserve">whereas higher-educated people tend to work longer. </w:t>
      </w:r>
      <w:r w:rsidRPr="00823149">
        <w:t>The strong effect of educational background over the lifetime is illustrated by the employment rates of older workers, as shown in Figure</w:t>
      </w:r>
      <w:r>
        <w:t> </w:t>
      </w:r>
      <w:r w:rsidRPr="00823149">
        <w:t>1.13, which av</w:t>
      </w:r>
      <w:r>
        <w:t>erage 44% for low-educated older workers and 70% for those with high education</w:t>
      </w:r>
      <w:r w:rsidRPr="00262774">
        <w:t>.</w:t>
      </w:r>
    </w:p>
    <w:p w:rsidR="00473421" w:rsidRDefault="00473421" w:rsidP="0075163D">
      <w:pPr>
        <w:pStyle w:val="FigureTitle"/>
      </w:pPr>
      <w:bookmarkStart w:id="35" w:name="_Toc493088645"/>
      <w:r w:rsidRPr="004358BD">
        <w:t>Figure 1.</w:t>
      </w:r>
      <w:r>
        <w:t>13</w:t>
      </w:r>
      <w:r w:rsidRPr="004358BD">
        <w:t>. Employment rates of population aged 55-64 by educational group</w:t>
      </w:r>
      <w:bookmarkEnd w:id="35"/>
    </w:p>
    <w:p w:rsidR="00473421" w:rsidRPr="002D09F5" w:rsidRDefault="00473421" w:rsidP="0075163D">
      <w:pPr>
        <w:pStyle w:val="FigureSub-title"/>
      </w:pPr>
      <w:r>
        <w:t>Percentage</w:t>
      </w:r>
      <w:r w:rsidRPr="002D09F5">
        <w:t xml:space="preserve"> of </w:t>
      </w:r>
      <w:r>
        <w:t xml:space="preserve">the </w:t>
      </w:r>
      <w:r w:rsidRPr="002D09F5">
        <w:t>population, 2015 or latest</w:t>
      </w:r>
    </w:p>
    <w:p w:rsidR="00473421" w:rsidRDefault="00E1524C" w:rsidP="001713DD">
      <w:pPr>
        <w:pStyle w:val="Num-DocParagraph"/>
        <w:ind w:left="0"/>
        <w:jc w:val="center"/>
      </w:pPr>
      <w:r>
        <w:rPr>
          <w:noProof/>
          <w:lang w:val="es-ES" w:eastAsia="es-ES"/>
        </w:rPr>
        <w:drawing>
          <wp:inline distT="0" distB="0" distL="0" distR="0" wp14:anchorId="19B6181D" wp14:editId="79C7E14E">
            <wp:extent cx="5904230" cy="2507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13_en.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4230" cy="2507615"/>
                    </a:xfrm>
                    <a:prstGeom prst="rect">
                      <a:avLst/>
                    </a:prstGeom>
                  </pic:spPr>
                </pic:pic>
              </a:graphicData>
            </a:graphic>
          </wp:inline>
        </w:drawing>
      </w:r>
    </w:p>
    <w:p w:rsidR="00473421" w:rsidRDefault="00473421" w:rsidP="00AB4AB5">
      <w:pPr>
        <w:pStyle w:val="SourceDescription"/>
        <w:spacing w:after="120"/>
      </w:pPr>
      <w:r w:rsidRPr="00771BD0">
        <w:rPr>
          <w:i/>
        </w:rPr>
        <w:t>Source</w:t>
      </w:r>
      <w:r w:rsidRPr="001F206C">
        <w:t xml:space="preserve">: </w:t>
      </w:r>
      <w:r>
        <w:t>C</w:t>
      </w:r>
      <w:r w:rsidRPr="001F206C">
        <w:t xml:space="preserve">alculations from </w:t>
      </w:r>
      <w:r>
        <w:t xml:space="preserve">the </w:t>
      </w:r>
      <w:r w:rsidRPr="00823149">
        <w:rPr>
          <w:i/>
        </w:rPr>
        <w:t>OECD Education Database</w:t>
      </w:r>
      <w:r w:rsidRPr="001F206C">
        <w:t>.</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66"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10.1787/888933566286</w:t>
      </w:r>
    </w:p>
    <w:p w:rsidR="00473421" w:rsidRPr="00DF4C8D" w:rsidRDefault="00473421" w:rsidP="0075163D">
      <w:pPr>
        <w:pStyle w:val="Ttulo2"/>
        <w:rPr>
          <w:color w:val="4F81BD"/>
        </w:rPr>
      </w:pPr>
      <w:bookmarkStart w:id="36" w:name="_Toc488843957"/>
      <w:bookmarkStart w:id="37" w:name="_Toc491856768"/>
      <w:r w:rsidRPr="00DF4C8D">
        <w:rPr>
          <w:color w:val="4F81BD"/>
        </w:rPr>
        <w:t>3.</w:t>
      </w:r>
      <w:r w:rsidRPr="00DF4C8D">
        <w:rPr>
          <w:color w:val="4F81BD"/>
        </w:rPr>
        <w:tab/>
        <w:t>When I was your age: How employment and income patterns are changing across generations</w:t>
      </w:r>
      <w:bookmarkEnd w:id="36"/>
      <w:bookmarkEnd w:id="37"/>
    </w:p>
    <w:p w:rsidR="00473421" w:rsidRPr="005E08C1" w:rsidRDefault="00473421" w:rsidP="0075163D">
      <w:pPr>
        <w:pStyle w:val="Ttulo3"/>
      </w:pPr>
      <w:r>
        <w:t>E</w:t>
      </w:r>
      <w:r w:rsidRPr="005E08C1">
        <w:t xml:space="preserve">mployment pattern across </w:t>
      </w:r>
      <w:r>
        <w:t>generations</w:t>
      </w:r>
    </w:p>
    <w:p w:rsidR="00473421" w:rsidRDefault="00473421" w:rsidP="0075163D">
      <w:pPr>
        <w:pStyle w:val="Textodecuerpo"/>
      </w:pPr>
      <w:r>
        <w:t>Work patterns vary significantly between generations</w:t>
      </w:r>
      <w:r w:rsidRPr="0002509A">
        <w:t xml:space="preserve">. </w:t>
      </w:r>
      <w:r>
        <w:t xml:space="preserve">Overall, employment rates at the same age across cohorts increased substantially for those born until </w:t>
      </w:r>
      <w:r w:rsidRPr="00823149">
        <w:t>the 1960s, mostly thanks to more women in work. Male employment rates at younger ages (20</w:t>
      </w:r>
      <w:r w:rsidR="00A9006E">
        <w:noBreakHyphen/>
      </w:r>
      <w:r w:rsidRPr="00823149">
        <w:t>24 years old), by contrast, have steadily declined across cohorts on average in the OECD (Figure</w:t>
      </w:r>
      <w:r>
        <w:t> </w:t>
      </w:r>
      <w:r w:rsidRPr="00823149">
        <w:t>1.14, Panel</w:t>
      </w:r>
      <w:r>
        <w:t xml:space="preserve"> A). Young female employment rates increased sharply for those born before 1970, and then fell at a similar pace, consistent with greater </w:t>
      </w:r>
      <w:r>
        <w:lastRenderedPageBreak/>
        <w:t>participation in higher education and high rates of youth not in education, employment or training (NEET) in recent decades.</w:t>
      </w:r>
    </w:p>
    <w:p w:rsidR="00473421" w:rsidRPr="00E0204D" w:rsidRDefault="00473421" w:rsidP="0075163D">
      <w:pPr>
        <w:pStyle w:val="Textodecuerpo"/>
      </w:pPr>
      <w:r w:rsidRPr="00E0204D">
        <w:t>For m</w:t>
      </w:r>
      <w:r>
        <w:t>en</w:t>
      </w:r>
      <w:r w:rsidRPr="00E0204D">
        <w:t xml:space="preserve"> born since 1930, the average employment rate of age group</w:t>
      </w:r>
      <w:r>
        <w:t> </w:t>
      </w:r>
      <w:r w:rsidRPr="00E0204D">
        <w:t>50 to</w:t>
      </w:r>
      <w:r>
        <w:t> </w:t>
      </w:r>
      <w:r w:rsidRPr="00E0204D">
        <w:t>54 has been stable while it has sharply increased for women in the same age group, resulting in an average gender gap of about 10</w:t>
      </w:r>
      <w:r>
        <w:t> </w:t>
      </w:r>
      <w:r w:rsidRPr="00E0204D">
        <w:t>percentage points for those born in the 1960s (Panel</w:t>
      </w:r>
      <w:r>
        <w:t> </w:t>
      </w:r>
      <w:r w:rsidRPr="00E0204D">
        <w:t xml:space="preserve">B). </w:t>
      </w:r>
      <w:r>
        <w:t xml:space="preserve">Having more women in work </w:t>
      </w:r>
      <w:r w:rsidRPr="00E0204D">
        <w:t xml:space="preserve">has reduced </w:t>
      </w:r>
      <w:r>
        <w:t xml:space="preserve">overall </w:t>
      </w:r>
      <w:r w:rsidRPr="00E0204D">
        <w:t>income inequality</w:t>
      </w:r>
      <w:r>
        <w:t xml:space="preserve">, even though there are </w:t>
      </w:r>
      <w:r w:rsidRPr="00E0204D">
        <w:t>large employment gaps between high</w:t>
      </w:r>
      <w:r>
        <w:t>-</w:t>
      </w:r>
      <w:r w:rsidRPr="00E0204D">
        <w:t xml:space="preserve"> and low</w:t>
      </w:r>
      <w:r>
        <w:t>-</w:t>
      </w:r>
      <w:r w:rsidRPr="00E0204D">
        <w:t>educated women (Harkness, 2013; OECD, 2015a).</w:t>
      </w:r>
    </w:p>
    <w:p w:rsidR="00473421" w:rsidRDefault="00473421" w:rsidP="0075163D">
      <w:pPr>
        <w:pStyle w:val="FigureTitle"/>
      </w:pPr>
      <w:bookmarkStart w:id="38" w:name="_Toc493088646"/>
      <w:r w:rsidRPr="00300D56">
        <w:t>Figure 1.1</w:t>
      </w:r>
      <w:r>
        <w:t>4</w:t>
      </w:r>
      <w:r w:rsidRPr="00300D56">
        <w:t>. Employment rates by gender across cohorts, at age</w:t>
      </w:r>
      <w:r>
        <w:t>s</w:t>
      </w:r>
      <w:r w:rsidRPr="00300D56">
        <w:t xml:space="preserve"> 20-24 and 50-54</w:t>
      </w:r>
      <w:bookmarkEnd w:id="38"/>
    </w:p>
    <w:p w:rsidR="00473421" w:rsidRPr="00B825D4" w:rsidRDefault="00473421" w:rsidP="0075163D">
      <w:pPr>
        <w:pStyle w:val="FigureSub-title"/>
        <w:rPr>
          <w:color w:val="000000" w:themeColor="text1"/>
        </w:rPr>
      </w:pPr>
      <w:r w:rsidRPr="00B825D4">
        <w:rPr>
          <w:color w:val="000000" w:themeColor="text1"/>
        </w:rPr>
        <w:t>Birth decades</w:t>
      </w:r>
    </w:p>
    <w:p w:rsidR="00473421" w:rsidRPr="00603B7B" w:rsidRDefault="001713DD" w:rsidP="00A9006E">
      <w:pPr>
        <w:ind w:left="-284"/>
        <w:jc w:val="center"/>
        <w:rPr>
          <w:sz w:val="18"/>
          <w:szCs w:val="18"/>
        </w:rPr>
      </w:pPr>
      <w:r w:rsidRPr="001713DD">
        <w:rPr>
          <w:noProof/>
          <w:lang w:val="es-ES" w:eastAsia="es-ES"/>
        </w:rPr>
        <w:drawing>
          <wp:inline distT="0" distB="0" distL="0" distR="0" wp14:anchorId="041B6633" wp14:editId="2A2C658E">
            <wp:extent cx="5676900" cy="2438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6900" cy="2438400"/>
                    </a:xfrm>
                    <a:prstGeom prst="rect">
                      <a:avLst/>
                    </a:prstGeom>
                    <a:noFill/>
                    <a:ln>
                      <a:noFill/>
                    </a:ln>
                  </pic:spPr>
                </pic:pic>
              </a:graphicData>
            </a:graphic>
          </wp:inline>
        </w:drawing>
      </w:r>
    </w:p>
    <w:p w:rsidR="00473421" w:rsidRPr="00603B7B" w:rsidRDefault="00473421" w:rsidP="0075163D">
      <w:pPr>
        <w:pStyle w:val="FigureNote"/>
        <w:spacing w:before="120"/>
      </w:pPr>
      <w:r w:rsidRPr="00771BD0">
        <w:rPr>
          <w:i/>
        </w:rPr>
        <w:t>Note</w:t>
      </w:r>
      <w:r w:rsidRPr="00603B7B">
        <w:t>: The cohort pattern of employment rates is estimated for each age group using country fixed effects to control for unbalanced panel data.</w:t>
      </w:r>
    </w:p>
    <w:p w:rsidR="00473421" w:rsidRDefault="00473421" w:rsidP="00AB4AB5">
      <w:pPr>
        <w:pStyle w:val="SourceDescription"/>
        <w:spacing w:after="120"/>
      </w:pPr>
      <w:r w:rsidRPr="00771BD0">
        <w:rPr>
          <w:i/>
        </w:rPr>
        <w:t>Source</w:t>
      </w:r>
      <w:r w:rsidRPr="008649C6">
        <w:t xml:space="preserve">: OECD calculations from </w:t>
      </w:r>
      <w:r>
        <w:t xml:space="preserve">the </w:t>
      </w:r>
      <w:r w:rsidRPr="00417E72">
        <w:t>Luxembourg Income Study</w:t>
      </w:r>
      <w:r w:rsidRPr="008649C6">
        <w:t xml:space="preserve"> data.</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68"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10.1787/888933566305</w:t>
      </w:r>
    </w:p>
    <w:p w:rsidR="00473421" w:rsidRPr="00FC69D9" w:rsidRDefault="00473421" w:rsidP="0075163D">
      <w:pPr>
        <w:pStyle w:val="Ttulo3"/>
      </w:pPr>
      <w:r w:rsidRPr="00FC69D9">
        <w:t xml:space="preserve">Income improvements across </w:t>
      </w:r>
      <w:r>
        <w:t>generations</w:t>
      </w:r>
      <w:r w:rsidRPr="00FC69D9">
        <w:t xml:space="preserve"> are losing steam</w:t>
      </w:r>
    </w:p>
    <w:p w:rsidR="00473421" w:rsidRDefault="00473421" w:rsidP="0075163D">
      <w:pPr>
        <w:pStyle w:val="Textodecuerpo"/>
      </w:pPr>
      <w:r w:rsidRPr="00823149">
        <w:t>Income at the same age used to increase from one generation to the next. Figure 1.15</w:t>
      </w:r>
      <w:r>
        <w:t xml:space="preserve"> shows real average income by age groups for cohorts born from the 1910s to the 1980s.</w:t>
      </w:r>
      <w:r>
        <w:rPr>
          <w:rStyle w:val="Refdenotaalfinal"/>
        </w:rPr>
        <w:endnoteReference w:id="13"/>
      </w:r>
      <w:r>
        <w:t xml:space="preserve"> Each successive cohort has been enjoying higher incomes than previous ones at the same age: for example, each birth decade between the 1910s and the 1950s had an income at age 60-64 that was on average 15% higher than that of the previous cohort. But the situation has changed: people born in the 1960s, who are now in their early fifties, have incomes which are not higher at the same age than those of the cohort born ten years earlier. The same applies to those born in the 1970s at age 40-44. This new pattern may well reflect the impact of the Great Recession, and the verdict is still out on whether this will result in persistently lower incomes of the affected cohorts.</w:t>
      </w:r>
      <w:r w:rsidRPr="009D07A5">
        <w:rPr>
          <w:rStyle w:val="Refdenotaalfinal"/>
        </w:rPr>
        <w:endnoteReference w:id="14"/>
      </w:r>
    </w:p>
    <w:p w:rsidR="00473421" w:rsidRDefault="00473421" w:rsidP="0075163D">
      <w:pPr>
        <w:pStyle w:val="FigureTitle"/>
        <w:rPr>
          <w:iCs/>
        </w:rPr>
      </w:pPr>
      <w:bookmarkStart w:id="39" w:name="_Toc493088647"/>
      <w:r w:rsidRPr="00F22A20">
        <w:rPr>
          <w:iCs/>
        </w:rPr>
        <w:lastRenderedPageBreak/>
        <w:t>Figure</w:t>
      </w:r>
      <w:r>
        <w:rPr>
          <w:iCs/>
        </w:rPr>
        <w:t xml:space="preserve"> 1.15. Substantial income gains at the same age across birth cohorts until recently</w:t>
      </w:r>
      <w:bookmarkEnd w:id="39"/>
    </w:p>
    <w:p w:rsidR="00473421" w:rsidRPr="002D09F5" w:rsidRDefault="00473421" w:rsidP="0075163D">
      <w:pPr>
        <w:pStyle w:val="FigureSub-title"/>
      </w:pPr>
      <w:r w:rsidRPr="002D09F5">
        <w:t>Age-cohort pattern of real disposable income, OECD average, 2010 USD PPP</w:t>
      </w:r>
    </w:p>
    <w:p w:rsidR="00473421" w:rsidRPr="0027220F" w:rsidRDefault="006F7AED" w:rsidP="0075163D">
      <w:pPr>
        <w:pStyle w:val="Graphic"/>
        <w:spacing w:after="120"/>
        <w:rPr>
          <w:bCs/>
          <w:iCs/>
        </w:rPr>
      </w:pPr>
      <w:r>
        <w:rPr>
          <w:bCs/>
          <w:iCs/>
          <w:noProof/>
          <w:lang w:val="es-ES" w:eastAsia="es-ES"/>
        </w:rPr>
        <w:drawing>
          <wp:inline distT="0" distB="0" distL="0" distR="0" wp14:anchorId="0440C6D1" wp14:editId="4417E551">
            <wp:extent cx="5483568" cy="227528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15.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92109" cy="2278829"/>
                    </a:xfrm>
                    <a:prstGeom prst="rect">
                      <a:avLst/>
                    </a:prstGeom>
                  </pic:spPr>
                </pic:pic>
              </a:graphicData>
            </a:graphic>
          </wp:inline>
        </w:drawing>
      </w:r>
    </w:p>
    <w:p w:rsidR="00473421" w:rsidRDefault="00473421" w:rsidP="0075163D">
      <w:pPr>
        <w:pStyle w:val="FigureNote"/>
      </w:pPr>
      <w:r w:rsidRPr="00771BD0">
        <w:rPr>
          <w:i/>
        </w:rPr>
        <w:t>Note</w:t>
      </w:r>
      <w:r>
        <w:t>:</w:t>
      </w:r>
      <w:r w:rsidRPr="00CE058F">
        <w:t xml:space="preserve"> Data</w:t>
      </w:r>
      <w:r>
        <w:t xml:space="preserve"> </w:t>
      </w:r>
      <w:r w:rsidRPr="00CE058F">
        <w:t>cover 2</w:t>
      </w:r>
      <w:r>
        <w:t>1</w:t>
      </w:r>
      <w:r w:rsidRPr="00CE058F">
        <w:t xml:space="preserve"> OECD countries. </w:t>
      </w:r>
      <w:r>
        <w:t xml:space="preserve">However, due to quality issues, </w:t>
      </w:r>
      <w:r w:rsidRPr="00CE058F">
        <w:t>data from Mexico have not been used.</w:t>
      </w:r>
      <w:r>
        <w:t xml:space="preserve"> </w:t>
      </w:r>
      <w:r w:rsidRPr="00CE058F">
        <w:t xml:space="preserve">To limit the biases from the unbalanced </w:t>
      </w:r>
      <w:r>
        <w:t>nature</w:t>
      </w:r>
      <w:r w:rsidRPr="00CE058F">
        <w:t xml:space="preserve"> of the panel </w:t>
      </w:r>
      <w:r>
        <w:t>data</w:t>
      </w:r>
      <w:r w:rsidRPr="00CE058F">
        <w:t xml:space="preserve"> then obtained, the </w:t>
      </w:r>
      <w:r>
        <w:t>series</w:t>
      </w:r>
      <w:r w:rsidRPr="00CE058F">
        <w:t xml:space="preserve"> shown in the chart are derived </w:t>
      </w:r>
      <w:r>
        <w:t xml:space="preserve">for each cohort </w:t>
      </w:r>
      <w:r w:rsidRPr="00CE058F">
        <w:t xml:space="preserve">from specification with country and </w:t>
      </w:r>
      <w:r>
        <w:t>age fixed effects.</w:t>
      </w:r>
    </w:p>
    <w:p w:rsidR="00473421" w:rsidRDefault="00473421" w:rsidP="00AB4AB5">
      <w:pPr>
        <w:pStyle w:val="SourceDescription"/>
        <w:spacing w:after="120"/>
      </w:pPr>
      <w:r w:rsidRPr="00771BD0">
        <w:rPr>
          <w:i/>
        </w:rPr>
        <w:t>Source</w:t>
      </w:r>
      <w:r w:rsidRPr="008649C6">
        <w:t xml:space="preserve">: OECD calculations from </w:t>
      </w:r>
      <w:r>
        <w:t xml:space="preserve">the </w:t>
      </w:r>
      <w:r w:rsidRPr="00417E72">
        <w:t>Luxembourg Income Study</w:t>
      </w:r>
      <w:r w:rsidRPr="008649C6">
        <w:t xml:space="preserve"> data.</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70"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10.1787/888933566324</w:t>
      </w:r>
    </w:p>
    <w:p w:rsidR="00473421" w:rsidRDefault="00473421" w:rsidP="0075163D">
      <w:pPr>
        <w:pStyle w:val="Textodecuerpo"/>
      </w:pPr>
      <w:r>
        <w:t>Looking beyond the averages, however, reveals large country variation. People aged 50-54 today, for example, have an average real income at least 5% greater than those born in the 1950s in the Slovak Republic, Slovenia, the Czech Republic, Poland and Australia. By contrast, the average income of this age group is more than 5% lower in Greece, the United States, Luxembourg, Spain and Hungary, compared to the previous cohort (Chapter 3).</w:t>
      </w:r>
    </w:p>
    <w:p w:rsidR="00473421" w:rsidRDefault="00473421" w:rsidP="0075163D">
      <w:pPr>
        <w:pStyle w:val="Ttulo3"/>
      </w:pPr>
      <w:r>
        <w:t>“When I’m 64”: age and income within cohorts</w:t>
      </w:r>
    </w:p>
    <w:p w:rsidR="00473421" w:rsidRPr="006E31D6" w:rsidRDefault="00473421" w:rsidP="0075163D">
      <w:pPr>
        <w:pStyle w:val="Textodecuerpo"/>
      </w:pPr>
      <w:r w:rsidRPr="006E31D6">
        <w:t xml:space="preserve">Do people </w:t>
      </w:r>
      <w:r>
        <w:t>become</w:t>
      </w:r>
      <w:r w:rsidRPr="006E31D6">
        <w:t xml:space="preserve"> richer </w:t>
      </w:r>
      <w:r w:rsidRPr="006E31D6">
        <w:rPr>
          <w:i/>
        </w:rPr>
        <w:t>on average</w:t>
      </w:r>
      <w:r w:rsidRPr="006E31D6">
        <w:t xml:space="preserve"> as they age? For each cohort, real </w:t>
      </w:r>
      <w:r>
        <w:t xml:space="preserve">average </w:t>
      </w:r>
      <w:r w:rsidRPr="006E31D6">
        <w:t>income increased between age</w:t>
      </w:r>
      <w:r>
        <w:t> </w:t>
      </w:r>
      <w:r w:rsidRPr="006E31D6">
        <w:t xml:space="preserve">20 </w:t>
      </w:r>
      <w:r>
        <w:t>and </w:t>
      </w:r>
      <w:r w:rsidRPr="006E31D6">
        <w:t xml:space="preserve">55. </w:t>
      </w:r>
      <w:r>
        <w:t>From</w:t>
      </w:r>
      <w:r w:rsidRPr="006E31D6">
        <w:t xml:space="preserve"> 1967</w:t>
      </w:r>
      <w:r>
        <w:t xml:space="preserve"> to </w:t>
      </w:r>
      <w:r w:rsidRPr="006E31D6">
        <w:t>2013</w:t>
      </w:r>
      <w:r>
        <w:t>, a</w:t>
      </w:r>
      <w:r w:rsidRPr="006E31D6">
        <w:t xml:space="preserve">cross cohorts and countries </w:t>
      </w:r>
      <w:r>
        <w:t>real income grew</w:t>
      </w:r>
      <w:r w:rsidRPr="006E31D6">
        <w:t xml:space="preserve"> </w:t>
      </w:r>
      <w:r>
        <w:t xml:space="preserve">by </w:t>
      </w:r>
      <w:r w:rsidRPr="006E31D6">
        <w:t>about 75% between</w:t>
      </w:r>
      <w:r>
        <w:t xml:space="preserve"> the</w:t>
      </w:r>
      <w:r w:rsidRPr="006E31D6">
        <w:t xml:space="preserve"> age</w:t>
      </w:r>
      <w:r>
        <w:t>s of </w:t>
      </w:r>
      <w:r w:rsidRPr="006E31D6">
        <w:t>20-24 and 55-59</w:t>
      </w:r>
      <w:r>
        <w:t xml:space="preserve"> on average; thereafter income</w:t>
      </w:r>
      <w:r w:rsidRPr="006E31D6">
        <w:t xml:space="preserve"> tend</w:t>
      </w:r>
      <w:r>
        <w:t>ed</w:t>
      </w:r>
      <w:r w:rsidRPr="006E31D6">
        <w:t xml:space="preserve"> to plateau. However, </w:t>
      </w:r>
      <w:r>
        <w:t>income age profiles differ acros</w:t>
      </w:r>
      <w:r w:rsidRPr="000C62AD">
        <w:t>s countries (Figure</w:t>
      </w:r>
      <w:r>
        <w:t> </w:t>
      </w:r>
      <w:r w:rsidRPr="000C62AD">
        <w:t>1.16).</w:t>
      </w:r>
    </w:p>
    <w:p w:rsidR="00473421" w:rsidRDefault="00473421" w:rsidP="0075163D">
      <w:pPr>
        <w:pStyle w:val="Textodecuerpo"/>
      </w:pPr>
      <w:r>
        <w:t>Countries are here sorted into three groups, which all have a similar average increase until age 45</w:t>
      </w:r>
      <w:r>
        <w:noBreakHyphen/>
        <w:t>49. The first group (“plateau”) includes Canada, Finland, Hungary, Israel, Italy, the Netherlands, Norway, Poland, the Slovak Republic and the United Kingdom; in this group, the income pattern at older ages is similar to the OECD average, with income plateauing after age 60. In the second group (“hump”), Australia, Austria, Belgium, Denmark, Slovenia, Sweden, Switzerland and the United States, average real income falls (for the same birth cohort) by about 0.9% per ageing year on average between ages 55-59 and 75-79.</w:t>
      </w:r>
      <w:r>
        <w:rPr>
          <w:rStyle w:val="Refdenotaalfinal"/>
        </w:rPr>
        <w:endnoteReference w:id="15"/>
      </w:r>
      <w:r>
        <w:t xml:space="preserve"> In the third group (“still increasing”), the Czech Republic, France, Greece, Ireland, Luxembourg and Spain, individuals have gotten richer on average as they have aged with real income continuing to increase through older ages, at a fast pace of about 2% per year. Of course, incomes at older ages (between ages 55-79) are estimated on the basis of previous cohorts’ progression so these profiles at older ages might not hold for the younger cohorts.</w:t>
      </w:r>
    </w:p>
    <w:p w:rsidR="00473421" w:rsidRPr="004D1A21" w:rsidRDefault="00473421" w:rsidP="0075163D">
      <w:pPr>
        <w:pStyle w:val="FigureTitle"/>
      </w:pPr>
      <w:bookmarkStart w:id="40" w:name="_Toc493088648"/>
      <w:r w:rsidRPr="004D1A21">
        <w:lastRenderedPageBreak/>
        <w:t xml:space="preserve">Figure </w:t>
      </w:r>
      <w:r>
        <w:t>1.16</w:t>
      </w:r>
      <w:r w:rsidRPr="004D1A21">
        <w:t>. Real average income within cohorts</w:t>
      </w:r>
      <w:r>
        <w:t xml:space="preserve"> diverge after </w:t>
      </w:r>
      <w:r w:rsidRPr="004D1A21">
        <w:t xml:space="preserve">age </w:t>
      </w:r>
      <w:r>
        <w:t>50 across countries</w:t>
      </w:r>
      <w:bookmarkEnd w:id="40"/>
    </w:p>
    <w:p w:rsidR="00473421" w:rsidRPr="00673A75" w:rsidRDefault="00473421" w:rsidP="0075163D">
      <w:pPr>
        <w:pStyle w:val="FigureSub-title"/>
      </w:pPr>
      <w:r w:rsidRPr="00673A75">
        <w:t xml:space="preserve">Average changes </w:t>
      </w:r>
      <w:r>
        <w:t xml:space="preserve">for the same cohort </w:t>
      </w:r>
      <w:r w:rsidRPr="00673A75">
        <w:t>per country group from age 20-24</w:t>
      </w:r>
    </w:p>
    <w:p w:rsidR="00473421" w:rsidRDefault="006F7AED" w:rsidP="001713DD">
      <w:pPr>
        <w:pStyle w:val="Textodecuerpo"/>
        <w:ind w:left="0" w:right="-57" w:firstLine="0"/>
        <w:jc w:val="center"/>
      </w:pPr>
      <w:r>
        <w:rPr>
          <w:noProof/>
          <w:lang w:val="es-ES" w:eastAsia="es-ES"/>
        </w:rPr>
        <w:drawing>
          <wp:inline distT="0" distB="0" distL="0" distR="0" wp14:anchorId="63C52067" wp14:editId="1C78F04E">
            <wp:extent cx="5904230" cy="24828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16.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04230" cy="2482850"/>
                    </a:xfrm>
                    <a:prstGeom prst="rect">
                      <a:avLst/>
                    </a:prstGeom>
                  </pic:spPr>
                </pic:pic>
              </a:graphicData>
            </a:graphic>
          </wp:inline>
        </w:drawing>
      </w:r>
    </w:p>
    <w:p w:rsidR="00473421" w:rsidRDefault="00473421" w:rsidP="0075163D">
      <w:pPr>
        <w:pStyle w:val="FigureNote"/>
      </w:pPr>
      <w:r w:rsidRPr="00803537">
        <w:rPr>
          <w:i/>
        </w:rPr>
        <w:t>Note</w:t>
      </w:r>
      <w:r w:rsidRPr="00BB734A">
        <w:t>:</w:t>
      </w:r>
      <w:r w:rsidRPr="00007FB1">
        <w:rPr>
          <w:b/>
        </w:rPr>
        <w:t xml:space="preserve"> </w:t>
      </w:r>
      <w:r w:rsidRPr="00007FB1">
        <w:t xml:space="preserve">The “Plateau” group is made of Canada, Finland, Hungary, Israel, Italy, the Netherlands, Norway, Poland, the Slovak Republic and the United Kingdom. “Hump” is Australia, Austria, Belgium, Denmark, Slovenia, Sweden, Switzerland and the United States, while </w:t>
      </w:r>
      <w:r w:rsidR="00EF0C69">
        <w:t xml:space="preserve">the </w:t>
      </w:r>
      <w:r w:rsidRPr="00007FB1">
        <w:t xml:space="preserve">Czech Republic, France, Greece, Ireland, Luxembourg and Spain are part of the “Still increasing” group. </w:t>
      </w:r>
      <w:r>
        <w:t>The analysis is based on country, age and cohort fixed effects.</w:t>
      </w:r>
    </w:p>
    <w:p w:rsidR="00473421" w:rsidRDefault="00473421" w:rsidP="00AB4AB5">
      <w:pPr>
        <w:pStyle w:val="SourceDescription"/>
        <w:spacing w:after="120"/>
      </w:pPr>
      <w:r w:rsidRPr="00771BD0">
        <w:rPr>
          <w:i/>
        </w:rPr>
        <w:t>Source</w:t>
      </w:r>
      <w:r w:rsidRPr="008649C6">
        <w:t xml:space="preserve">: OECD calculations from </w:t>
      </w:r>
      <w:r>
        <w:t xml:space="preserve">the </w:t>
      </w:r>
      <w:r w:rsidRPr="00417E72">
        <w:t>Luxembourg Income Study</w:t>
      </w:r>
      <w:r w:rsidRPr="008649C6">
        <w:t xml:space="preserve"> data.</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72"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10.1787/888933566343</w:t>
      </w:r>
    </w:p>
    <w:p w:rsidR="00473421" w:rsidRDefault="00473421" w:rsidP="0075163D">
      <w:pPr>
        <w:pStyle w:val="Textodecuerpo"/>
      </w:pPr>
      <w:r>
        <w:t xml:space="preserve">Wealth, as a complement to income, is also important to capture households’ capacity to deal with negative shocks. It is also a critical factor for the accumulation of inequality over the life course, given that wealth inequality is typically much larger than income inequality (Murtin and Mira d’Ercole, 2015). Unfortunately, data limitations are substantial, not allowing for a thorough analysis of wealth disparities across cohorts. Available data, however, do allow comparing average wealth across age groups for a recent period – thus corresponding to different cohorts – for 19 OECD countries. </w:t>
      </w:r>
    </w:p>
    <w:p w:rsidR="00473421" w:rsidRDefault="00473421" w:rsidP="0075163D">
      <w:pPr>
        <w:pStyle w:val="Textodecuerpo"/>
      </w:pPr>
      <w:r w:rsidRPr="00E3462D">
        <w:t xml:space="preserve">Based on these </w:t>
      </w:r>
      <w:r>
        <w:t>data</w:t>
      </w:r>
      <w:r w:rsidRPr="00E3462D">
        <w:t xml:space="preserve">, wealth in 2010 </w:t>
      </w:r>
      <w:r>
        <w:t>grew by a factor of 4.4</w:t>
      </w:r>
      <w:r w:rsidRPr="00E3462D">
        <w:t xml:space="preserve"> on average </w:t>
      </w:r>
      <w:r>
        <w:t xml:space="preserve">from the age group of </w:t>
      </w:r>
      <w:r w:rsidRPr="00E3462D">
        <w:t>16</w:t>
      </w:r>
      <w:r>
        <w:noBreakHyphen/>
      </w:r>
      <w:r w:rsidRPr="00E3462D">
        <w:t>34</w:t>
      </w:r>
      <w:r>
        <w:t> years to a peak reached at ages 5</w:t>
      </w:r>
      <w:r w:rsidRPr="00E3462D">
        <w:t>5-64</w:t>
      </w:r>
      <w:r>
        <w:t xml:space="preserve"> (Figure 1.17, Panel A). This increase suggests that, in addition to receiving bequests and inter-vivo transfers, households use a substantial part of their income to build up wealth during their working life, replicating patterns of income inequality in wealth distribution.</w:t>
      </w:r>
    </w:p>
    <w:p w:rsidR="00473421" w:rsidRPr="00256992" w:rsidRDefault="00473421" w:rsidP="0075163D">
      <w:pPr>
        <w:pStyle w:val="FigureTitle"/>
      </w:pPr>
      <w:bookmarkStart w:id="41" w:name="_Toc493088649"/>
      <w:r w:rsidRPr="00256992">
        <w:lastRenderedPageBreak/>
        <w:t>Figure 1.17. Mean household net wealth in different age groups</w:t>
      </w:r>
      <w:bookmarkEnd w:id="41"/>
    </w:p>
    <w:p w:rsidR="00473421" w:rsidRPr="00256992" w:rsidRDefault="00473421" w:rsidP="0075163D">
      <w:pPr>
        <w:pStyle w:val="FigureSub-title"/>
        <w:spacing w:after="240"/>
      </w:pPr>
      <w:r>
        <w:t>Age group average r</w:t>
      </w:r>
      <w:r w:rsidRPr="00256992">
        <w:t>elative to population average, 2010 or latest available year</w:t>
      </w:r>
    </w:p>
    <w:p w:rsidR="00473421" w:rsidRDefault="004D38AD" w:rsidP="0075163D">
      <w:pPr>
        <w:jc w:val="center"/>
      </w:pPr>
      <w:r w:rsidRPr="004D38AD">
        <w:rPr>
          <w:noProof/>
          <w:lang w:val="es-ES" w:eastAsia="es-ES"/>
        </w:rPr>
        <w:drawing>
          <wp:inline distT="0" distB="0" distL="0" distR="0" wp14:anchorId="66A78E7D" wp14:editId="45124D6B">
            <wp:extent cx="5304825" cy="22913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8956" cy="2293113"/>
                    </a:xfrm>
                    <a:prstGeom prst="rect">
                      <a:avLst/>
                    </a:prstGeom>
                    <a:noFill/>
                    <a:ln>
                      <a:noFill/>
                    </a:ln>
                  </pic:spPr>
                </pic:pic>
              </a:graphicData>
            </a:graphic>
          </wp:inline>
        </w:drawing>
      </w:r>
    </w:p>
    <w:p w:rsidR="00473421" w:rsidRPr="001063ED" w:rsidRDefault="00473421" w:rsidP="0075163D">
      <w:pPr>
        <w:pStyle w:val="FigureNote"/>
        <w:spacing w:before="120"/>
      </w:pPr>
      <w:r w:rsidRPr="001063ED">
        <w:rPr>
          <w:i/>
        </w:rPr>
        <w:t>Note</w:t>
      </w:r>
      <w:r w:rsidRPr="001063ED">
        <w:t>: Panel A shows an unweighted average of the 19 OECD countries for which data is shown in Panel B. Data of Euro countries and the United States refer to year 2010, Chile to 2011, Australia, Canada and the United Kingdom to 2012 and Korea to 2013.</w:t>
      </w:r>
      <w:r>
        <w:t xml:space="preserve"> The age group refers to the age of the household head.</w:t>
      </w:r>
    </w:p>
    <w:p w:rsidR="00473421" w:rsidRDefault="00473421" w:rsidP="00AB4AB5">
      <w:pPr>
        <w:pStyle w:val="SourceDescription"/>
        <w:spacing w:after="120"/>
      </w:pPr>
      <w:r w:rsidRPr="00771BD0">
        <w:rPr>
          <w:i/>
        </w:rPr>
        <w:t>Source</w:t>
      </w:r>
      <w:r w:rsidRPr="00256992">
        <w:t xml:space="preserve">: </w:t>
      </w:r>
      <w:r w:rsidRPr="000C62AD">
        <w:rPr>
          <w:i/>
        </w:rPr>
        <w:t>OECD Wealth Distribution Database</w:t>
      </w:r>
      <w:r w:rsidRPr="00256992">
        <w:t xml:space="preserve"> (accessed 11 May 2017).</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74"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10.1787/888933566362</w:t>
      </w:r>
    </w:p>
    <w:p w:rsidR="00473421" w:rsidRPr="00E3462D" w:rsidRDefault="00473421" w:rsidP="0075163D">
      <w:pPr>
        <w:pStyle w:val="Textodecuerpo"/>
      </w:pPr>
      <w:r>
        <w:t>During retirement the average wealth declines due to the loss of labour earnings in old age and due to transfers made to their offspring. In 2010, those older than 75 years owned 26% less wealth than households at the peak age of 55-64, on average, across 19 OECD countries, but their wealth was still 8% greater than for the total population (Panel B). In Korea, Austria and Greece, however, the elderly had a much lower wealth than the total population (at least 20% less) and a much higher one in the United States and Norway (more than 40% above).</w:t>
      </w:r>
    </w:p>
    <w:p w:rsidR="00473421" w:rsidRPr="00DF4C8D" w:rsidRDefault="00473421" w:rsidP="0075163D">
      <w:pPr>
        <w:pStyle w:val="Ttulo2"/>
        <w:rPr>
          <w:color w:val="4F81BD"/>
        </w:rPr>
      </w:pPr>
      <w:bookmarkStart w:id="42" w:name="_Toc488843958"/>
      <w:bookmarkStart w:id="43" w:name="_Toc491856769"/>
      <w:r w:rsidRPr="00DF4C8D">
        <w:rPr>
          <w:color w:val="4F81BD"/>
        </w:rPr>
        <w:t>4.</w:t>
      </w:r>
      <w:r w:rsidRPr="00DF4C8D">
        <w:rPr>
          <w:color w:val="4F81BD"/>
        </w:rPr>
        <w:tab/>
        <w:t>Equal in old age? Income, living standards and well-being in retirement</w:t>
      </w:r>
      <w:bookmarkEnd w:id="42"/>
      <w:bookmarkEnd w:id="43"/>
    </w:p>
    <w:p w:rsidR="00473421" w:rsidRPr="00AE1F9E" w:rsidRDefault="00473421" w:rsidP="0075163D">
      <w:pPr>
        <w:pStyle w:val="Textodecuerpo"/>
      </w:pPr>
      <w:r>
        <w:t>T</w:t>
      </w:r>
      <w:r w:rsidRPr="000A6BE8">
        <w:t>he future elderly population will</w:t>
      </w:r>
      <w:r>
        <w:t xml:space="preserve"> become more diverse</w:t>
      </w:r>
      <w:r w:rsidRPr="000A6BE8">
        <w:t xml:space="preserve">; </w:t>
      </w:r>
      <w:r>
        <w:t>people</w:t>
      </w:r>
      <w:r w:rsidRPr="000A6BE8">
        <w:t xml:space="preserve"> will live longer but more </w:t>
      </w:r>
      <w:r>
        <w:t xml:space="preserve">will </w:t>
      </w:r>
      <w:r w:rsidRPr="000A6BE8">
        <w:t>hav</w:t>
      </w:r>
      <w:r>
        <w:t xml:space="preserve">e experienced some period of </w:t>
      </w:r>
      <w:r w:rsidRPr="000A6BE8">
        <w:t>unemploy</w:t>
      </w:r>
      <w:r>
        <w:t xml:space="preserve">ment during their working lives </w:t>
      </w:r>
      <w:r w:rsidRPr="000A6BE8">
        <w:t xml:space="preserve">and </w:t>
      </w:r>
      <w:r>
        <w:t xml:space="preserve">more will have earned </w:t>
      </w:r>
      <w:r w:rsidRPr="000A6BE8">
        <w:t>low wages,</w:t>
      </w:r>
      <w:r>
        <w:t xml:space="preserve"> while </w:t>
      </w:r>
      <w:r w:rsidRPr="000A6BE8">
        <w:t xml:space="preserve">others </w:t>
      </w:r>
      <w:r>
        <w:t>will have enjoyed</w:t>
      </w:r>
      <w:r w:rsidRPr="000A6BE8">
        <w:t xml:space="preserve"> higher</w:t>
      </w:r>
      <w:r>
        <w:t>, stable</w:t>
      </w:r>
      <w:r w:rsidRPr="000A6BE8">
        <w:t xml:space="preserve"> earning</w:t>
      </w:r>
      <w:r>
        <w:t xml:space="preserve"> path</w:t>
      </w:r>
      <w:r w:rsidRPr="000A6BE8">
        <w:t>s</w:t>
      </w:r>
      <w:r>
        <w:t xml:space="preserve">. </w:t>
      </w:r>
      <w:r w:rsidRPr="00A73800">
        <w:t xml:space="preserve">Old-age </w:t>
      </w:r>
      <w:r>
        <w:t xml:space="preserve">and care </w:t>
      </w:r>
      <w:r w:rsidRPr="00A73800">
        <w:t xml:space="preserve">support systems will therefore </w:t>
      </w:r>
      <w:r>
        <w:t xml:space="preserve">likely </w:t>
      </w:r>
      <w:r w:rsidRPr="00A73800">
        <w:t xml:space="preserve">have to cope with significantly higher inequalities, boosting the demand for </w:t>
      </w:r>
      <w:r>
        <w:t>more redistribution through pension policies, at least in some countries</w:t>
      </w:r>
      <w:r w:rsidRPr="00A73800">
        <w:t>.</w:t>
      </w:r>
    </w:p>
    <w:p w:rsidR="00473421" w:rsidRDefault="00473421" w:rsidP="00DF4C8D">
      <w:pPr>
        <w:pStyle w:val="Ttulo3"/>
        <w:spacing w:before="120"/>
      </w:pPr>
      <w:r>
        <w:t>Focusing on income inequality and poverty at older ages</w:t>
      </w:r>
    </w:p>
    <w:p w:rsidR="00473421" w:rsidRDefault="00473421" w:rsidP="0075163D">
      <w:pPr>
        <w:pStyle w:val="Textodecuerpo"/>
      </w:pPr>
      <w:r>
        <w:t xml:space="preserve">Assessing future risks of unequal ageing must start with a look at the situation today. </w:t>
      </w:r>
      <w:r w:rsidRPr="00A24D7A">
        <w:t>Income inequality among the 65+</w:t>
      </w:r>
      <w:r>
        <w:t> group</w:t>
      </w:r>
      <w:r w:rsidRPr="00A24D7A">
        <w:t xml:space="preserve">, as </w:t>
      </w:r>
      <w:r w:rsidRPr="000C62AD">
        <w:t>measured by the Gini index, varies from about 0.20 in the Slovak Republic, the Czech Republic, Denmark and Norway to more than 0.40 in Israel, the United States, Korea, Chile and Mexico (Figure</w:t>
      </w:r>
      <w:r>
        <w:t> </w:t>
      </w:r>
      <w:r w:rsidRPr="000C62AD">
        <w:t>1.18). In</w:t>
      </w:r>
      <w:r>
        <w:t xml:space="preserve"> general</w:t>
      </w:r>
      <w:r w:rsidRPr="00A24D7A">
        <w:t>, old-age income inequality</w:t>
      </w:r>
      <w:r>
        <w:t xml:space="preserve"> in OECD countries</w:t>
      </w:r>
      <w:r w:rsidRPr="00A24D7A">
        <w:t xml:space="preserve"> is closely related to </w:t>
      </w:r>
      <w:r>
        <w:t xml:space="preserve">overall </w:t>
      </w:r>
      <w:r w:rsidRPr="00A24D7A">
        <w:t>income inequality.</w:t>
      </w:r>
      <w:r w:rsidRPr="00A24D7A">
        <w:rPr>
          <w:rStyle w:val="Refdenotaalfinal"/>
        </w:rPr>
        <w:endnoteReference w:id="16"/>
      </w:r>
      <w:r>
        <w:t xml:space="preserve"> As shown in Section 1 above, old-age income inequality has been fairly stable across cohorts, suggesting that the improvements of older people’s living standards in past decades have been well shared among retirees.</w:t>
      </w:r>
    </w:p>
    <w:p w:rsidR="00473421" w:rsidRDefault="00473421" w:rsidP="0075163D">
      <w:pPr>
        <w:pStyle w:val="FigureTitle"/>
        <w:rPr>
          <w:lang w:val="en-US"/>
        </w:rPr>
      </w:pPr>
      <w:bookmarkStart w:id="44" w:name="_Toc493088650"/>
      <w:r w:rsidRPr="002277CF">
        <w:rPr>
          <w:lang w:val="en-US"/>
        </w:rPr>
        <w:lastRenderedPageBreak/>
        <w:t>Figure 1.</w:t>
      </w:r>
      <w:r>
        <w:rPr>
          <w:lang w:val="en-US"/>
        </w:rPr>
        <w:t>18</w:t>
      </w:r>
      <w:r w:rsidRPr="002277CF">
        <w:rPr>
          <w:lang w:val="en-US"/>
        </w:rPr>
        <w:t>. Income inequality among th</w:t>
      </w:r>
      <w:r>
        <w:rPr>
          <w:lang w:val="en-US"/>
        </w:rPr>
        <w:t xml:space="preserve">ose older than </w:t>
      </w:r>
      <w:r w:rsidRPr="002277CF">
        <w:rPr>
          <w:lang w:val="en-US"/>
        </w:rPr>
        <w:t>65</w:t>
      </w:r>
      <w:r>
        <w:rPr>
          <w:lang w:val="en-US"/>
        </w:rPr>
        <w:t xml:space="preserve"> years varies widely across countries</w:t>
      </w:r>
      <w:bookmarkEnd w:id="44"/>
    </w:p>
    <w:p w:rsidR="00473421" w:rsidRDefault="00473421" w:rsidP="00A04A88">
      <w:pPr>
        <w:pStyle w:val="FigureSub-title"/>
        <w:spacing w:after="0"/>
      </w:pPr>
      <w:r w:rsidRPr="00232684">
        <w:rPr>
          <w:lang w:val="en-US"/>
        </w:rPr>
        <w:t xml:space="preserve">Gini </w:t>
      </w:r>
      <w:r>
        <w:rPr>
          <w:lang w:val="en-US"/>
        </w:rPr>
        <w:t>coefficient</w:t>
      </w:r>
      <w:r w:rsidRPr="00232684">
        <w:rPr>
          <w:lang w:val="en-US"/>
        </w:rPr>
        <w:t xml:space="preserve">, </w:t>
      </w:r>
      <w:r>
        <w:rPr>
          <w:lang w:val="en-US"/>
        </w:rPr>
        <w:t xml:space="preserve">2014 or </w:t>
      </w:r>
      <w:r w:rsidRPr="00232684">
        <w:rPr>
          <w:lang w:val="en-US"/>
        </w:rPr>
        <w:t>latest year</w:t>
      </w:r>
    </w:p>
    <w:p w:rsidR="002266CF" w:rsidRDefault="002266CF" w:rsidP="00AB4AB5">
      <w:pPr>
        <w:pStyle w:val="SourceDescription"/>
        <w:spacing w:after="120"/>
        <w:rPr>
          <w:i/>
        </w:rPr>
      </w:pPr>
      <w:r>
        <w:rPr>
          <w:i/>
          <w:noProof/>
          <w:lang w:val="es-ES" w:eastAsia="es-ES"/>
        </w:rPr>
        <w:drawing>
          <wp:inline distT="0" distB="0" distL="0" distR="0" wp14:anchorId="6A30CCF2" wp14:editId="6D336044">
            <wp:extent cx="5904230" cy="21793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18_en.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04230" cy="2179320"/>
                    </a:xfrm>
                    <a:prstGeom prst="rect">
                      <a:avLst/>
                    </a:prstGeom>
                  </pic:spPr>
                </pic:pic>
              </a:graphicData>
            </a:graphic>
          </wp:inline>
        </w:drawing>
      </w:r>
    </w:p>
    <w:p w:rsidR="00473421" w:rsidRDefault="00473421" w:rsidP="00AB4AB5">
      <w:pPr>
        <w:pStyle w:val="SourceDescription"/>
        <w:spacing w:after="120"/>
        <w:rPr>
          <w:i/>
        </w:rPr>
      </w:pPr>
      <w:r w:rsidRPr="00771BD0">
        <w:rPr>
          <w:i/>
        </w:rPr>
        <w:t>Source: OECD Income Distribution Database.</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76"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10.1787/888933566381</w:t>
      </w:r>
    </w:p>
    <w:p w:rsidR="00473421" w:rsidRDefault="00473421" w:rsidP="0075163D">
      <w:pPr>
        <w:pStyle w:val="Textodecuerpo"/>
      </w:pPr>
      <w:r>
        <w:t xml:space="preserve">To gauge how poor older people are it is important to look at both the number of people concerned and at the depth of </w:t>
      </w:r>
      <w:r w:rsidRPr="000C62AD">
        <w:t>poverty, measured as the percentage by which the average income of the poor falls below the poverty line. Figure</w:t>
      </w:r>
      <w:r>
        <w:t> </w:t>
      </w:r>
      <w:r w:rsidRPr="000C62AD">
        <w:t>1.19 presents</w:t>
      </w:r>
      <w:r>
        <w:t xml:space="preserve"> both indicators: </w:t>
      </w:r>
      <w:r w:rsidRPr="00A1500C">
        <w:t xml:space="preserve">the old-age poverty rate and the </w:t>
      </w:r>
      <w:r>
        <w:t xml:space="preserve">depth of </w:t>
      </w:r>
      <w:r w:rsidRPr="00A1500C">
        <w:t>poverty for those older than 65</w:t>
      </w:r>
      <w:r>
        <w:t> </w:t>
      </w:r>
      <w:r w:rsidRPr="00A1500C">
        <w:t xml:space="preserve">years. </w:t>
      </w:r>
      <w:r>
        <w:t>Poor o</w:t>
      </w:r>
      <w:r w:rsidRPr="00A1500C">
        <w:t>lder people</w:t>
      </w:r>
      <w:r>
        <w:t>’s</w:t>
      </w:r>
      <w:r w:rsidRPr="00A1500C">
        <w:t xml:space="preserve"> </w:t>
      </w:r>
      <w:r>
        <w:t xml:space="preserve">average income </w:t>
      </w:r>
      <w:r w:rsidRPr="00A1500C">
        <w:t xml:space="preserve">is 23% </w:t>
      </w:r>
      <w:r>
        <w:t>be</w:t>
      </w:r>
      <w:r w:rsidRPr="00A1500C">
        <w:t>low the poverty line</w:t>
      </w:r>
      <w:r>
        <w:t>,</w:t>
      </w:r>
      <w:r w:rsidRPr="00A1500C">
        <w:t xml:space="preserve"> on average </w:t>
      </w:r>
      <w:r>
        <w:t>in</w:t>
      </w:r>
      <w:r w:rsidRPr="00A1500C">
        <w:t xml:space="preserve"> OECD countries. Korea stands out as having both a high old-age poverty rate and</w:t>
      </w:r>
      <w:r>
        <w:t xml:space="preserve"> deep</w:t>
      </w:r>
      <w:r w:rsidRPr="00A1500C">
        <w:t xml:space="preserve"> poverty</w:t>
      </w:r>
      <w:r>
        <w:t xml:space="preserve">. In </w:t>
      </w:r>
      <w:r w:rsidRPr="00A1500C">
        <w:t xml:space="preserve">Chile, Mexico, Turkey and the United States </w:t>
      </w:r>
      <w:r>
        <w:t>the old-age poverty</w:t>
      </w:r>
      <w:r w:rsidRPr="00A1500C">
        <w:t xml:space="preserve"> rate </w:t>
      </w:r>
      <w:r>
        <w:t>exceeds</w:t>
      </w:r>
      <w:r w:rsidRPr="00A1500C">
        <w:t xml:space="preserve"> 15% and </w:t>
      </w:r>
      <w:r>
        <w:t>poverty</w:t>
      </w:r>
      <w:r w:rsidRPr="00A1500C">
        <w:t xml:space="preserve"> depth </w:t>
      </w:r>
      <w:r>
        <w:t>is greater</w:t>
      </w:r>
      <w:r w:rsidRPr="00A1500C">
        <w:t xml:space="preserve"> than 30%. </w:t>
      </w:r>
      <w:r>
        <w:t xml:space="preserve">In </w:t>
      </w:r>
      <w:r w:rsidRPr="00A1500C">
        <w:t>Australia</w:t>
      </w:r>
      <w:r>
        <w:t xml:space="preserve">, </w:t>
      </w:r>
      <w:r w:rsidRPr="00A1500C">
        <w:t xml:space="preserve">poverty </w:t>
      </w:r>
      <w:r>
        <w:t>among older people is not deep</w:t>
      </w:r>
      <w:r w:rsidRPr="00A1500C">
        <w:t xml:space="preserve"> despite a high </w:t>
      </w:r>
      <w:r>
        <w:t xml:space="preserve">poverty </w:t>
      </w:r>
      <w:r w:rsidRPr="00A1500C">
        <w:t xml:space="preserve">rate. </w:t>
      </w:r>
      <w:r>
        <w:t>By contrast</w:t>
      </w:r>
      <w:r w:rsidRPr="00A1500C">
        <w:t>, Ireland, Luxembourg and the Netherlands have low poverty rate</w:t>
      </w:r>
      <w:r>
        <w:t>s</w:t>
      </w:r>
      <w:r w:rsidRPr="00A1500C">
        <w:t>, but the poor in these countries suffer from a large income gap on average</w:t>
      </w:r>
      <w:r>
        <w:t>.</w:t>
      </w:r>
    </w:p>
    <w:p w:rsidR="00DF4C8D" w:rsidRDefault="00DF4C8D" w:rsidP="00DF4C8D">
      <w:pPr>
        <w:pStyle w:val="Textodecuerpo"/>
      </w:pPr>
      <w:r w:rsidRPr="000459E2">
        <w:t>Elderly women</w:t>
      </w:r>
      <w:r>
        <w:t>,</w:t>
      </w:r>
      <w:r w:rsidRPr="000459E2">
        <w:t xml:space="preserve"> especially those living alone</w:t>
      </w:r>
      <w:r>
        <w:t>,</w:t>
      </w:r>
      <w:r w:rsidRPr="000459E2">
        <w:t xml:space="preserve"> are among the most vulnerable groups. About 10% of women aged between</w:t>
      </w:r>
      <w:r>
        <w:t> </w:t>
      </w:r>
      <w:r w:rsidRPr="000459E2">
        <w:t>66 and 75</w:t>
      </w:r>
      <w:r>
        <w:t> </w:t>
      </w:r>
      <w:r w:rsidRPr="000459E2">
        <w:t>years had income</w:t>
      </w:r>
      <w:r>
        <w:t>s</w:t>
      </w:r>
      <w:r w:rsidRPr="000459E2">
        <w:t xml:space="preserve"> </w:t>
      </w:r>
      <w:r>
        <w:t>be</w:t>
      </w:r>
      <w:r w:rsidRPr="000459E2">
        <w:t>low</w:t>
      </w:r>
      <w:r>
        <w:t xml:space="preserve"> the poverty level,</w:t>
      </w:r>
      <w:r w:rsidRPr="000459E2">
        <w:t xml:space="preserve"> on average across countries against 7% for men. This </w:t>
      </w:r>
      <w:r>
        <w:t xml:space="preserve">gender </w:t>
      </w:r>
      <w:r w:rsidRPr="000459E2">
        <w:t xml:space="preserve">poverty gap </w:t>
      </w:r>
      <w:r>
        <w:t>is</w:t>
      </w:r>
      <w:r w:rsidRPr="000459E2">
        <w:t xml:space="preserve"> below 0.5</w:t>
      </w:r>
      <w:r>
        <w:t> </w:t>
      </w:r>
      <w:r w:rsidRPr="000459E2">
        <w:t xml:space="preserve">percentage points in </w:t>
      </w:r>
      <w:r>
        <w:t xml:space="preserve">a few countries only: </w:t>
      </w:r>
      <w:r w:rsidRPr="000459E2">
        <w:t xml:space="preserve">Belgium, Canada, France, Greece, Iceland, Ireland and Luxembourg. Women </w:t>
      </w:r>
      <w:r>
        <w:t>above </w:t>
      </w:r>
      <w:r w:rsidRPr="000459E2">
        <w:t xml:space="preserve">75 are even </w:t>
      </w:r>
      <w:r>
        <w:t>more at risk</w:t>
      </w:r>
      <w:r w:rsidRPr="000459E2">
        <w:t xml:space="preserve">, with more than one in four being below the poverty line in Latvia, </w:t>
      </w:r>
      <w:r w:rsidRPr="008A5C09">
        <w:t>Estonia, Switzerland, the</w:t>
      </w:r>
      <w:r w:rsidRPr="000459E2">
        <w:t xml:space="preserve"> United States and Israel.</w:t>
      </w:r>
      <w:r>
        <w:rPr>
          <w:rStyle w:val="Refdenotaalfinal"/>
        </w:rPr>
        <w:endnoteReference w:id="17"/>
      </w:r>
    </w:p>
    <w:p w:rsidR="00473421" w:rsidRPr="00F017C1" w:rsidRDefault="00473421" w:rsidP="0075163D">
      <w:pPr>
        <w:pStyle w:val="FigureTitle"/>
      </w:pPr>
      <w:bookmarkStart w:id="45" w:name="_Toc493088651"/>
      <w:r w:rsidRPr="00F017C1">
        <w:lastRenderedPageBreak/>
        <w:t>Figure 1.</w:t>
      </w:r>
      <w:r>
        <w:t>19</w:t>
      </w:r>
      <w:r w:rsidRPr="00F017C1">
        <w:t xml:space="preserve">. Old-age </w:t>
      </w:r>
      <w:r>
        <w:t xml:space="preserve">relative </w:t>
      </w:r>
      <w:r w:rsidRPr="00F017C1">
        <w:t>poverty rate and poverty depth, 65+</w:t>
      </w:r>
      <w:bookmarkEnd w:id="45"/>
    </w:p>
    <w:p w:rsidR="00473421" w:rsidRDefault="00D472D8" w:rsidP="00DF4C8D">
      <w:pPr>
        <w:pStyle w:val="Ttulo3"/>
        <w:ind w:left="0" w:right="-57"/>
        <w:jc w:val="center"/>
        <w:rPr>
          <w:b w:val="0"/>
          <w:i w:val="0"/>
          <w:sz w:val="18"/>
          <w:szCs w:val="18"/>
        </w:rPr>
      </w:pPr>
      <w:r>
        <w:rPr>
          <w:b w:val="0"/>
          <w:i w:val="0"/>
          <w:noProof/>
          <w:sz w:val="18"/>
          <w:szCs w:val="18"/>
          <w:lang w:val="es-ES" w:eastAsia="es-ES"/>
        </w:rPr>
        <w:drawing>
          <wp:inline distT="0" distB="0" distL="0" distR="0" wp14:anchorId="6700F04F" wp14:editId="2A0FFE36">
            <wp:extent cx="5425440" cy="222478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19.em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28563" cy="2226061"/>
                    </a:xfrm>
                    <a:prstGeom prst="rect">
                      <a:avLst/>
                    </a:prstGeom>
                  </pic:spPr>
                </pic:pic>
              </a:graphicData>
            </a:graphic>
          </wp:inline>
        </w:drawing>
      </w:r>
    </w:p>
    <w:p w:rsidR="00473421" w:rsidRDefault="00473421" w:rsidP="00AB4AB5">
      <w:pPr>
        <w:pStyle w:val="SourceDescription"/>
        <w:spacing w:after="120"/>
        <w:rPr>
          <w:i/>
        </w:rPr>
      </w:pPr>
      <w:r w:rsidRPr="00771BD0">
        <w:rPr>
          <w:i/>
        </w:rPr>
        <w:t>Source: OECD Income Distribution Database.</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78"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10.1787/888933566400</w:t>
      </w:r>
    </w:p>
    <w:p w:rsidR="00473421" w:rsidRPr="002353EA" w:rsidRDefault="00DF4C8D" w:rsidP="0075163D">
      <w:pPr>
        <w:pStyle w:val="Num-DocParagraph"/>
        <w:rPr>
          <w:b/>
          <w:i/>
        </w:rPr>
      </w:pPr>
      <w:r>
        <w:rPr>
          <w:b/>
          <w:i/>
        </w:rPr>
        <w:t>Pension systems: E</w:t>
      </w:r>
      <w:r w:rsidR="00473421">
        <w:rPr>
          <w:b/>
          <w:i/>
        </w:rPr>
        <w:t>qualising or widening income inequalities?</w:t>
      </w:r>
    </w:p>
    <w:p w:rsidR="00473421" w:rsidRPr="00DF4C8D" w:rsidRDefault="00473421" w:rsidP="0075163D">
      <w:pPr>
        <w:pStyle w:val="Textodecuerpo"/>
        <w:rPr>
          <w:spacing w:val="-2"/>
        </w:rPr>
      </w:pPr>
      <w:r w:rsidRPr="00DF4C8D">
        <w:rPr>
          <w:spacing w:val="-2"/>
        </w:rPr>
        <w:t>Old-age income arrangements obviously play an important role in fighting pensioner poverty and inequality. In many OECD countries, workers with low earnings (half the average wage) face poor old-age income prospects, even when they have worked and earned entitlements over a full career. They can expect net pension replacement rates (i.e.</w:t>
      </w:r>
      <w:r w:rsidR="00A9006E">
        <w:rPr>
          <w:spacing w:val="-2"/>
        </w:rPr>
        <w:t> </w:t>
      </w:r>
      <w:r w:rsidRPr="00DF4C8D">
        <w:rPr>
          <w:spacing w:val="-2"/>
        </w:rPr>
        <w:t>the level of the net pension received when entering retirement as a ratio of previous net earnings) from mandatory pension schemes below 60% in ten OECD countries (Mexico, Chile, the United Kingdom, Japan, Germany, Poland, the United States, Sweden, Slovenia and Canada), against an OECD average of 74% (OECD, 2015b). In G20 emerging economies, low-income workers also have poor pension prospects in Indonesia (14%) and South Africa (22%). In all of these countries, individuals who were disadvantaged in working age are likely to become very vulnerable in old age. In some countries, the situation is particularly critical for women. For example, in Chile, pension annuities are computed with gender-specific mortality tables, resulting in even lower pensions for women due to their higher life expectancy;</w:t>
      </w:r>
      <w:r w:rsidRPr="00DF4C8D">
        <w:rPr>
          <w:rStyle w:val="Refdenotaalfinal"/>
          <w:spacing w:val="-2"/>
        </w:rPr>
        <w:endnoteReference w:id="18"/>
      </w:r>
      <w:r w:rsidRPr="00DF4C8D">
        <w:rPr>
          <w:spacing w:val="-2"/>
        </w:rPr>
        <w:t xml:space="preserve"> in Australia and Indonesia, lump sum payments are predominant, which implies that people who can expect to live longer – women in that case on average – have to rely on that lump sum for a longer period.</w:t>
      </w:r>
    </w:p>
    <w:p w:rsidR="00473421" w:rsidRDefault="00473421" w:rsidP="0075163D">
      <w:pPr>
        <w:pStyle w:val="Textodecuerpo"/>
      </w:pPr>
      <w:r>
        <w:t xml:space="preserve">Achieving full careers is becoming increasingly uncertain in today’s labour markets. Box 1.1 shows the impact of incomplete careers on pension benefits. Even for full-career workers, in most pension systems, higher wage inequality will translate into higher pension inequality, especially where there are tight links between contributions and benefits. On average, across countries, on top of any income from private savings accumulated during the working life, about two-thirds of lifetime earnings inequality is transmitted to old-age pensions. Where pensions are paid at a flat rate, i.e. regardless of past earnings, such as in New Zealand, the United Kingdom, and Ireland, higher wage inequality will not affect the pension distribution. However, when voluntary pensions in these countries are considered, 20-25% of wage inequality could be transmitted to pensions. By contrast, more than 85% of wage inequality is passed on to pension inequality in Turkey, Latvia, Hungary, Finland, Italy, Poland, Spain, Portugal, </w:t>
      </w:r>
      <w:r w:rsidRPr="000C62AD">
        <w:t>Sweden, the Netherlands, Austria, France and Germany (Figure</w:t>
      </w:r>
      <w:r>
        <w:t> </w:t>
      </w:r>
      <w:r w:rsidRPr="000C62AD">
        <w:t>1.20).</w:t>
      </w:r>
    </w:p>
    <w:p w:rsidR="00473421" w:rsidRDefault="00473421" w:rsidP="0075163D">
      <w:pPr>
        <w:pStyle w:val="FigureTitle"/>
      </w:pPr>
      <w:bookmarkStart w:id="46" w:name="_Toc493088652"/>
      <w:r w:rsidRPr="00937457">
        <w:lastRenderedPageBreak/>
        <w:t xml:space="preserve">Figure </w:t>
      </w:r>
      <w:r>
        <w:t>1.20</w:t>
      </w:r>
      <w:r w:rsidRPr="00937457">
        <w:t xml:space="preserve">. </w:t>
      </w:r>
      <w:r>
        <w:t>Impact of an increase in wage inequality on pension inequality</w:t>
      </w:r>
      <w:bookmarkEnd w:id="46"/>
    </w:p>
    <w:p w:rsidR="00473421" w:rsidRDefault="00473421" w:rsidP="0075163D">
      <w:pPr>
        <w:pStyle w:val="FigureSub-title"/>
        <w:rPr>
          <w:noProof/>
          <w:lang w:eastAsia="en-GB"/>
        </w:rPr>
      </w:pPr>
      <w:r>
        <w:t>Percentage point c</w:t>
      </w:r>
      <w:r w:rsidRPr="000376A8">
        <w:t xml:space="preserve">hange in </w:t>
      </w:r>
      <w:r>
        <w:t xml:space="preserve">the Gini index of </w:t>
      </w:r>
      <w:r w:rsidRPr="000376A8">
        <w:t>pension for a 1</w:t>
      </w:r>
      <w:r>
        <w:t xml:space="preserve"> percentage point </w:t>
      </w:r>
      <w:r w:rsidRPr="000376A8">
        <w:t xml:space="preserve">increase in </w:t>
      </w:r>
      <w:r>
        <w:t>the Gini index of wages</w:t>
      </w:r>
      <w:r w:rsidRPr="000376A8">
        <w:t>,</w:t>
      </w:r>
      <w:r w:rsidR="00DF4C8D">
        <w:br/>
      </w:r>
      <w:r w:rsidRPr="000376A8">
        <w:t>full</w:t>
      </w:r>
      <w:r>
        <w:t>-</w:t>
      </w:r>
      <w:r w:rsidRPr="000376A8">
        <w:t>career case</w:t>
      </w:r>
    </w:p>
    <w:p w:rsidR="00473421" w:rsidRDefault="008F04EF" w:rsidP="0075163D">
      <w:pPr>
        <w:pStyle w:val="Graphic"/>
        <w:spacing w:after="120"/>
        <w:rPr>
          <w:szCs w:val="18"/>
        </w:rPr>
      </w:pPr>
      <w:r>
        <w:rPr>
          <w:noProof/>
          <w:szCs w:val="18"/>
          <w:lang w:val="es-ES" w:eastAsia="es-ES"/>
        </w:rPr>
        <w:drawing>
          <wp:inline distT="0" distB="0" distL="0" distR="0" wp14:anchorId="42982C97" wp14:editId="62F387ED">
            <wp:extent cx="5904230" cy="25158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20.e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04230" cy="2515870"/>
                    </a:xfrm>
                    <a:prstGeom prst="rect">
                      <a:avLst/>
                    </a:prstGeom>
                  </pic:spPr>
                </pic:pic>
              </a:graphicData>
            </a:graphic>
          </wp:inline>
        </w:drawing>
      </w:r>
    </w:p>
    <w:p w:rsidR="00473421" w:rsidRDefault="00473421" w:rsidP="0075163D">
      <w:pPr>
        <w:pStyle w:val="FigureNote"/>
      </w:pPr>
      <w:r w:rsidRPr="00043C19">
        <w:rPr>
          <w:i/>
        </w:rPr>
        <w:t>Note</w:t>
      </w:r>
      <w:r>
        <w:rPr>
          <w:i/>
        </w:rPr>
        <w:t>:</w:t>
      </w:r>
      <w:r w:rsidRPr="000376A8">
        <w:t xml:space="preserve"> Simulations are based on common earning distribution across countries and a shift from a </w:t>
      </w:r>
      <w:r w:rsidRPr="004D38AD">
        <w:t>Gini</w:t>
      </w:r>
      <w:r w:rsidR="004D38AD">
        <w:t xml:space="preserve"> coefficient </w:t>
      </w:r>
      <w:r w:rsidRPr="004D38AD">
        <w:t>of 0.35 to 0.38. See Chapter 5 for details and for the computation of the pension progressivity index. The graph refers to gross (i.e. pre</w:t>
      </w:r>
      <w:r w:rsidRPr="00043C19">
        <w:t>-tax) earnings and pension benefits.</w:t>
      </w:r>
    </w:p>
    <w:p w:rsidR="00473421" w:rsidRDefault="00473421" w:rsidP="00AB4AB5">
      <w:pPr>
        <w:pStyle w:val="SourceDescription"/>
        <w:spacing w:after="120"/>
      </w:pPr>
      <w:r w:rsidRPr="00043C19">
        <w:rPr>
          <w:i/>
        </w:rPr>
        <w:t>Source:</w:t>
      </w:r>
      <w:r w:rsidRPr="00043C19">
        <w:t xml:space="preserve"> Computations based on the OECD pension model.</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80"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10.1787/888933566419</w:t>
      </w:r>
    </w:p>
    <w:p w:rsidR="00DF4C8D" w:rsidRDefault="00DF4C8D" w:rsidP="00DF4C8D">
      <w:pPr>
        <w:pStyle w:val="Textodecuerpo"/>
        <w:spacing w:before="240"/>
      </w:pPr>
      <w:r w:rsidRPr="00260D57">
        <w:t>But socio</w:t>
      </w:r>
      <w:r w:rsidR="00B54C38">
        <w:t>-</w:t>
      </w:r>
      <w:r w:rsidRPr="00260D57">
        <w:t>economic inequalities in life expectancy also need to be taken into account</w:t>
      </w:r>
      <w:r>
        <w:t>.</w:t>
      </w:r>
      <w:r w:rsidRPr="00260D57">
        <w:t xml:space="preserve"> </w:t>
      </w:r>
      <w:r>
        <w:t xml:space="preserve">Shorter lives of </w:t>
      </w:r>
      <w:r w:rsidRPr="00260D57">
        <w:t xml:space="preserve">low-educated, poorer pensioners </w:t>
      </w:r>
      <w:r>
        <w:t xml:space="preserve">reduce </w:t>
      </w:r>
      <w:r w:rsidRPr="00260D57">
        <w:t xml:space="preserve">their cumulated benefits proportionally </w:t>
      </w:r>
      <w:r>
        <w:t>more, regardless of the pension system</w:t>
      </w:r>
      <w:r w:rsidRPr="00260D57">
        <w:t xml:space="preserve">. </w:t>
      </w:r>
      <w:r>
        <w:t xml:space="preserve">When </w:t>
      </w:r>
      <w:r w:rsidRPr="00260D57">
        <w:t xml:space="preserve">the </w:t>
      </w:r>
      <w:r>
        <w:t xml:space="preserve">average three-year </w:t>
      </w:r>
      <w:r w:rsidRPr="00260D57">
        <w:t>gap in life expectancy between low- and high-educated people at age</w:t>
      </w:r>
      <w:r>
        <w:t> </w:t>
      </w:r>
      <w:r w:rsidRPr="00260D57">
        <w:t xml:space="preserve">65 </w:t>
      </w:r>
      <w:r>
        <w:t xml:space="preserve">is considered, the </w:t>
      </w:r>
      <w:r w:rsidRPr="00260D57">
        <w:t>pension wealth</w:t>
      </w:r>
      <w:r>
        <w:t xml:space="preserve"> (</w:t>
      </w:r>
      <w:r w:rsidRPr="00260D57">
        <w:t>the discounted stream of pension payments over retirement</w:t>
      </w:r>
      <w:r>
        <w:t>)</w:t>
      </w:r>
      <w:r w:rsidRPr="00260D57">
        <w:t xml:space="preserve"> of low-income individuals</w:t>
      </w:r>
      <w:r>
        <w:t>,</w:t>
      </w:r>
      <w:r w:rsidRPr="00260D57">
        <w:t xml:space="preserve"> relative to that of high-income</w:t>
      </w:r>
      <w:r>
        <w:t xml:space="preserve"> retirees,</w:t>
      </w:r>
      <w:r w:rsidRPr="00260D57">
        <w:t xml:space="preserve"> </w:t>
      </w:r>
      <w:r>
        <w:t xml:space="preserve">falls further </w:t>
      </w:r>
      <w:r w:rsidRPr="00260D57">
        <w:t>by about 12%</w:t>
      </w:r>
      <w:r>
        <w:t>,</w:t>
      </w:r>
      <w:r w:rsidRPr="00260D57">
        <w:t xml:space="preserve"> on average across countries (Chapter</w:t>
      </w:r>
      <w:r>
        <w:t> </w:t>
      </w:r>
      <w:r w:rsidRPr="00260D57">
        <w:t>5).</w:t>
      </w:r>
    </w:p>
    <w:p w:rsidR="00DF4C8D" w:rsidRDefault="00DF4C8D" w:rsidP="00DF4C8D">
      <w:pPr>
        <w:pStyle w:val="Textodecuerpo"/>
      </w:pPr>
      <w:r w:rsidRPr="00984956">
        <w:t xml:space="preserve">As a consequence, raising the retirement age will affect low-income workers proportionally more than higher-income workers. These losses are, however, relatively small: </w:t>
      </w:r>
      <w:r>
        <w:t>i</w:t>
      </w:r>
      <w:r w:rsidRPr="00984956">
        <w:t xml:space="preserve">f retirement ages were effectively increased by </w:t>
      </w:r>
      <w:r>
        <w:t>three</w:t>
      </w:r>
      <w:r w:rsidRPr="00984956">
        <w:t xml:space="preserve"> years between 2015 and 2060, the relative pension wealth of the low-income versus high-income groups would be reduced by 2.2% on average across countries</w:t>
      </w:r>
      <w:r>
        <w:t>, when only taking into account differences in life expectancy</w:t>
      </w:r>
      <w:r w:rsidRPr="00984956">
        <w:t>.</w:t>
      </w:r>
      <w:r w:rsidRPr="00984956">
        <w:rPr>
          <w:rStyle w:val="Refdenotaalfinal"/>
        </w:rPr>
        <w:endnoteReference w:id="19"/>
      </w:r>
    </w:p>
    <w:p w:rsidR="00DF4C8D" w:rsidRDefault="00DF4C8D">
      <w:r>
        <w:rPr>
          <w:b/>
          <w:bCs/>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FFFF"/>
        <w:tblLayout w:type="fixed"/>
        <w:tblLook w:val="0000" w:firstRow="0" w:lastRow="0" w:firstColumn="0" w:lastColumn="0" w:noHBand="0" w:noVBand="0"/>
      </w:tblPr>
      <w:tblGrid>
        <w:gridCol w:w="9298"/>
      </w:tblGrid>
      <w:tr w:rsidR="00473421" w:rsidTr="00DF4C8D">
        <w:trPr>
          <w:jc w:val="center"/>
        </w:trPr>
        <w:tc>
          <w:tcPr>
            <w:tcW w:w="9298" w:type="dxa"/>
            <w:shd w:val="clear" w:color="auto" w:fill="F4FFFF"/>
          </w:tcPr>
          <w:p w:rsidR="00473421" w:rsidRDefault="00473421" w:rsidP="0075163D">
            <w:pPr>
              <w:pStyle w:val="BoxHeading"/>
            </w:pPr>
            <w:r>
              <w:lastRenderedPageBreak/>
              <w:t>Box 1.1. Impact of incomplete careers on pension benefits</w:t>
            </w:r>
          </w:p>
          <w:p w:rsidR="00473421" w:rsidRPr="00197B0C" w:rsidRDefault="00473421" w:rsidP="003C68EE">
            <w:pPr>
              <w:pStyle w:val="BoxBodyText"/>
              <w:framePr w:wrap="around"/>
            </w:pPr>
            <w:r w:rsidRPr="00197B0C">
              <w:t xml:space="preserve">Workers with incomplete careers due to late entry or career breaks will usually receive lower pensions, especially in systems where there is a tight link between pension benefits and lifetime wages. Workers with non-standard jobs and weak attachment to the labour market have thus become more vulnerable. </w:t>
            </w:r>
            <w:r>
              <w:t xml:space="preserve">Figure 1.21 </w:t>
            </w:r>
            <w:r w:rsidRPr="00197B0C">
              <w:t xml:space="preserve">illustrates how much workers on average earnings would lose in pension benefits from mandatory schemes due to a delayed entry into employment by </w:t>
            </w:r>
            <w:r>
              <w:t>five </w:t>
            </w:r>
            <w:r w:rsidRPr="00197B0C">
              <w:t xml:space="preserve">years and </w:t>
            </w:r>
            <w:r>
              <w:t>ten </w:t>
            </w:r>
            <w:r w:rsidRPr="00197B0C">
              <w:t xml:space="preserve">years of unemployment, compared to the standard worker with a full career. The biggest drops, of about 30% or more, would occur in Japan, Hungary, Greece, Chile, Turkey, Mexico, Poland, Israel, Iceland and Italy. Without any mechanism to offset those shocks, </w:t>
            </w:r>
            <w:r>
              <w:t xml:space="preserve">i.e. on a pure actuarial basis, </w:t>
            </w:r>
            <w:r w:rsidRPr="00197B0C">
              <w:t>this would imply a drop of about 35% in pension benefits. The projected drop using legislated pension rules is 22%</w:t>
            </w:r>
            <w:r>
              <w:t>,</w:t>
            </w:r>
            <w:r w:rsidRPr="00197B0C">
              <w:t xml:space="preserve"> on average</w:t>
            </w:r>
            <w:r>
              <w:t>,</w:t>
            </w:r>
            <w:r w:rsidRPr="00197B0C">
              <w:t xml:space="preserve"> across countries. This means that about 37% </w:t>
            </w:r>
            <w:r>
              <w:t>[</w:t>
            </w:r>
            <w:r w:rsidRPr="00197B0C">
              <w:t>=(35-22)/35</w:t>
            </w:r>
            <w:r>
              <w:t>]</w:t>
            </w:r>
            <w:r w:rsidRPr="00197B0C">
              <w:t xml:space="preserve"> of the labour market difficulties in this extreme case are offset by various redistributive/stabilisation devices.</w:t>
            </w:r>
          </w:p>
          <w:p w:rsidR="00473421" w:rsidRPr="00833670" w:rsidRDefault="00473421" w:rsidP="0075163D">
            <w:pPr>
              <w:pStyle w:val="FigureTitle"/>
            </w:pPr>
            <w:bookmarkStart w:id="47" w:name="_Toc493088653"/>
            <w:r w:rsidRPr="00833670">
              <w:t>Figure</w:t>
            </w:r>
            <w:r>
              <w:t xml:space="preserve"> 1.21</w:t>
            </w:r>
            <w:r w:rsidRPr="00833670">
              <w:t>. Loss in pension benefits due to incomplete careers, average-wage workers</w:t>
            </w:r>
            <w:bookmarkEnd w:id="47"/>
          </w:p>
          <w:p w:rsidR="00473421" w:rsidRDefault="00473421" w:rsidP="0075163D">
            <w:pPr>
              <w:pStyle w:val="FigureSub-title"/>
            </w:pPr>
            <w:r w:rsidRPr="00095118">
              <w:t>Entry at age 25 with 10-year unemployment versus full career from age 20</w:t>
            </w:r>
          </w:p>
          <w:p w:rsidR="00473421" w:rsidRPr="00C0344B" w:rsidRDefault="008F04EF" w:rsidP="0075163D">
            <w:pPr>
              <w:pStyle w:val="FigureSub-title"/>
              <w:rPr>
                <w:sz w:val="16"/>
                <w:szCs w:val="16"/>
              </w:rPr>
            </w:pPr>
            <w:r>
              <w:rPr>
                <w:noProof/>
                <w:sz w:val="16"/>
                <w:szCs w:val="16"/>
                <w:lang w:val="es-ES" w:eastAsia="es-ES"/>
              </w:rPr>
              <w:drawing>
                <wp:inline distT="0" distB="0" distL="0" distR="0" wp14:anchorId="33B27E98" wp14:editId="61AF4B7C">
                  <wp:extent cx="5767070" cy="2457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21.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7070" cy="2457450"/>
                          </a:xfrm>
                          <a:prstGeom prst="rect">
                            <a:avLst/>
                          </a:prstGeom>
                        </pic:spPr>
                      </pic:pic>
                    </a:graphicData>
                  </a:graphic>
                </wp:inline>
              </w:drawing>
            </w:r>
          </w:p>
          <w:p w:rsidR="00473421" w:rsidRDefault="00473421" w:rsidP="0075163D">
            <w:pPr>
              <w:pStyle w:val="FigureNote"/>
            </w:pPr>
            <w:r w:rsidRPr="00625257">
              <w:rPr>
                <w:i/>
              </w:rPr>
              <w:t>Note</w:t>
            </w:r>
            <w:r>
              <w:t>:</w:t>
            </w:r>
            <w:r w:rsidRPr="00197B0C">
              <w:t xml:space="preserve"> The numbers in parenthesis in the country labels indicate the extra years individuals with incomplete careers need to work to access a full pension, i.e. without actuarial penalty although the pension might be lower than for a full-career worker. The incomplete-career case is based on entry at age 25 versus 20 in the baseline with a </w:t>
            </w:r>
            <w:r>
              <w:t>ten</w:t>
            </w:r>
            <w:r w:rsidRPr="00197B0C">
              <w:t>-year unemployment period between age 35 and 45.</w:t>
            </w:r>
          </w:p>
          <w:p w:rsidR="00473421" w:rsidRDefault="00473421" w:rsidP="0075163D">
            <w:pPr>
              <w:pStyle w:val="SourceDescription"/>
              <w:spacing w:after="120"/>
            </w:pPr>
            <w:r w:rsidRPr="00EC0563">
              <w:rPr>
                <w:i/>
              </w:rPr>
              <w:t>Source</w:t>
            </w:r>
            <w:r w:rsidRPr="00EC0563">
              <w:t>: F</w:t>
            </w:r>
            <w:r w:rsidRPr="00197B0C">
              <w:t>or the full-career case</w:t>
            </w:r>
            <w:r>
              <w:t>, th</w:t>
            </w:r>
            <w:r w:rsidRPr="00197B0C">
              <w:t>e source is OECD (2015b) and OECD computations for the career-break case, both based on mandatory schemes.</w:t>
            </w:r>
          </w:p>
          <w:p w:rsidR="00AB4AB5" w:rsidRPr="000C62AD" w:rsidRDefault="00AB4AB5" w:rsidP="003B3C8E">
            <w:pPr>
              <w:autoSpaceDE w:val="0"/>
              <w:autoSpaceDN w:val="0"/>
              <w:adjustRightInd w:val="0"/>
              <w:spacing w:after="120"/>
              <w:jc w:val="right"/>
            </w:pPr>
            <w:r w:rsidRPr="001766F9">
              <w:rPr>
                <w:rFonts w:ascii="StatLink" w:hAnsi="StatLink" w:cs="StatLink"/>
                <w:color w:val="000000"/>
                <w:sz w:val="14"/>
                <w:szCs w:val="14"/>
              </w:rPr>
              <w:t xml:space="preserve">1 2 </w:t>
            </w:r>
            <w:hyperlink r:id="rId82"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10.1787/888933566438</w:t>
            </w:r>
          </w:p>
        </w:tc>
      </w:tr>
    </w:tbl>
    <w:p w:rsidR="00473421" w:rsidRPr="00DF4C8D" w:rsidRDefault="00473421" w:rsidP="00DF4C8D">
      <w:pPr>
        <w:pStyle w:val="Num-DocParagraph"/>
        <w:spacing w:before="240"/>
        <w:rPr>
          <w:b/>
          <w:i/>
        </w:rPr>
      </w:pPr>
      <w:r w:rsidRPr="00DF4C8D">
        <w:rPr>
          <w:b/>
          <w:i/>
        </w:rPr>
        <w:fldChar w:fldCharType="begin"/>
      </w:r>
      <w:r w:rsidRPr="00DF4C8D">
        <w:rPr>
          <w:b/>
          <w:i/>
        </w:rPr>
        <w:instrText xml:space="preserve"> MACROBUTTON PARADOC </w:instrText>
      </w:r>
      <w:r w:rsidRPr="00DF4C8D">
        <w:rPr>
          <w:b/>
          <w:i/>
        </w:rPr>
        <w:fldChar w:fldCharType="end"/>
      </w:r>
      <w:r w:rsidRPr="00DF4C8D">
        <w:rPr>
          <w:b/>
          <w:i/>
        </w:rPr>
        <w:t>Access to health services is not the same for everyone</w:t>
      </w:r>
    </w:p>
    <w:p w:rsidR="00473421" w:rsidRDefault="00473421" w:rsidP="0075163D">
      <w:pPr>
        <w:pStyle w:val="Textodecuerpo"/>
      </w:pPr>
      <w:r w:rsidRPr="005052AE">
        <w:t>Access to health care may be prevented for a number of</w:t>
      </w:r>
      <w:r>
        <w:t xml:space="preserve"> </w:t>
      </w:r>
      <w:r w:rsidRPr="005052AE">
        <w:t>reasons related either to the functioning of the health care</w:t>
      </w:r>
      <w:r>
        <w:t xml:space="preserve"> </w:t>
      </w:r>
      <w:r w:rsidRPr="005052AE">
        <w:t>system itself (like the cost of a doctor visit or medical</w:t>
      </w:r>
      <w:r>
        <w:t xml:space="preserve"> </w:t>
      </w:r>
      <w:r w:rsidRPr="005052AE">
        <w:t>treatment, the distance to the closest health care facility, or</w:t>
      </w:r>
      <w:r>
        <w:t xml:space="preserve"> </w:t>
      </w:r>
      <w:r w:rsidRPr="005052AE">
        <w:t>waiting lists) or to personal reasons (like fear of not being</w:t>
      </w:r>
      <w:r>
        <w:t xml:space="preserve"> </w:t>
      </w:r>
      <w:r w:rsidRPr="005052AE">
        <w:t>understood by the doctor or not having the time to seek</w:t>
      </w:r>
      <w:r>
        <w:t xml:space="preserve"> </w:t>
      </w:r>
      <w:r w:rsidRPr="005052AE">
        <w:t xml:space="preserve">care). </w:t>
      </w:r>
      <w:r>
        <w:t xml:space="preserve">OECD (2015c, Figure 7.6) shows that </w:t>
      </w:r>
      <w:r w:rsidRPr="005052AE">
        <w:t>unmet care needs for financial</w:t>
      </w:r>
      <w:r>
        <w:t xml:space="preserve"> </w:t>
      </w:r>
      <w:r w:rsidRPr="005052AE">
        <w:t xml:space="preserve">reasons </w:t>
      </w:r>
      <w:r>
        <w:t xml:space="preserve">are consistently higher within OECD countries </w:t>
      </w:r>
      <w:r w:rsidRPr="005052AE">
        <w:t>among low</w:t>
      </w:r>
      <w:r>
        <w:t>-</w:t>
      </w:r>
      <w:r w:rsidRPr="005052AE">
        <w:t>income people compared with high</w:t>
      </w:r>
      <w:r>
        <w:t>-</w:t>
      </w:r>
      <w:r w:rsidRPr="005052AE">
        <w:t>income people</w:t>
      </w:r>
      <w:r>
        <w:t xml:space="preserve">. </w:t>
      </w:r>
      <w:r w:rsidRPr="005052AE">
        <w:t>Any inequalities in unmet</w:t>
      </w:r>
      <w:r>
        <w:t xml:space="preserve"> </w:t>
      </w:r>
      <w:r w:rsidRPr="005052AE">
        <w:t xml:space="preserve">care needs </w:t>
      </w:r>
      <w:r>
        <w:t xml:space="preserve">are likely to </w:t>
      </w:r>
      <w:r w:rsidRPr="005052AE">
        <w:t xml:space="preserve">result in </w:t>
      </w:r>
      <w:r>
        <w:t xml:space="preserve">larger </w:t>
      </w:r>
      <w:r w:rsidRPr="005052AE">
        <w:t>health inequalities.</w:t>
      </w:r>
    </w:p>
    <w:p w:rsidR="00473421" w:rsidRPr="00423AB0" w:rsidRDefault="00473421" w:rsidP="0075163D">
      <w:pPr>
        <w:pStyle w:val="Textodecuerpo"/>
      </w:pPr>
      <w:r>
        <w:lastRenderedPageBreak/>
        <w:t>A</w:t>
      </w:r>
      <w:r w:rsidRPr="00423AB0">
        <w:t xml:space="preserve">ccess to services, in particular health services, </w:t>
      </w:r>
      <w:r>
        <w:t xml:space="preserve">also varies </w:t>
      </w:r>
      <w:r w:rsidRPr="00423AB0">
        <w:t>strong</w:t>
      </w:r>
      <w:r>
        <w:t>ly by</w:t>
      </w:r>
      <w:r w:rsidRPr="00423AB0">
        <w:t xml:space="preserve"> </w:t>
      </w:r>
      <w:r w:rsidRPr="000C62AD">
        <w:t>regions, as shown for example by the number of active physicians and hospital beds available to older people (Figure</w:t>
      </w:r>
      <w:r>
        <w:t> </w:t>
      </w:r>
      <w:r w:rsidRPr="000C62AD">
        <w:t>1.22). The</w:t>
      </w:r>
      <w:r w:rsidRPr="00423AB0">
        <w:t xml:space="preserve"> Unite</w:t>
      </w:r>
      <w:r>
        <w:t>d</w:t>
      </w:r>
      <w:r w:rsidRPr="00423AB0">
        <w:t xml:space="preserve"> States, Australia and Turkey have the </w:t>
      </w:r>
      <w:r>
        <w:t>largest</w:t>
      </w:r>
      <w:r w:rsidRPr="00423AB0">
        <w:t xml:space="preserve"> regional</w:t>
      </w:r>
      <w:r>
        <w:t> </w:t>
      </w:r>
      <w:r w:rsidRPr="00423AB0">
        <w:t>(TL2) differences in the number of active physicians per 1</w:t>
      </w:r>
      <w:r>
        <w:t> </w:t>
      </w:r>
      <w:r w:rsidRPr="00423AB0">
        <w:t>000</w:t>
      </w:r>
      <w:r>
        <w:t> </w:t>
      </w:r>
      <w:r w:rsidRPr="00423AB0">
        <w:t xml:space="preserve">older people. </w:t>
      </w:r>
      <w:r>
        <w:t>Moreover, v</w:t>
      </w:r>
      <w:r w:rsidRPr="00423AB0">
        <w:t>ery low levels of physicians per 1</w:t>
      </w:r>
      <w:r>
        <w:t> </w:t>
      </w:r>
      <w:r w:rsidRPr="00423AB0">
        <w:t>000</w:t>
      </w:r>
      <w:r>
        <w:t> </w:t>
      </w:r>
      <w:r w:rsidRPr="00423AB0">
        <w:t xml:space="preserve">older people are found in O’Higgins (Chile), Iwate (Japan), Zeeland (Netherlands) and Western Black Sea </w:t>
      </w:r>
      <w:r w:rsidR="002F4F69">
        <w:t>– </w:t>
      </w:r>
      <w:r w:rsidRPr="00423AB0">
        <w:t>Middle and East (Turkey), where the number of physicians were below</w:t>
      </w:r>
      <w:r>
        <w:t> </w:t>
      </w:r>
      <w:r w:rsidRPr="00423AB0">
        <w:t>10 per every 1</w:t>
      </w:r>
      <w:r>
        <w:t> </w:t>
      </w:r>
      <w:r w:rsidRPr="00423AB0">
        <w:t>000</w:t>
      </w:r>
      <w:r>
        <w:t> </w:t>
      </w:r>
      <w:r w:rsidRPr="00423AB0">
        <w:t>older people in 2014.</w:t>
      </w:r>
    </w:p>
    <w:p w:rsidR="00473421" w:rsidRDefault="00473421" w:rsidP="0075163D">
      <w:pPr>
        <w:pStyle w:val="Textodecuerpo"/>
      </w:pPr>
      <w:r w:rsidRPr="00BB2468">
        <w:t>In 2014, Canada, Poland, Turkey, Portugal and the United States had the largest regional disparities in the density of hospital beds per 1</w:t>
      </w:r>
      <w:r>
        <w:t> </w:t>
      </w:r>
      <w:r w:rsidRPr="00BB2468">
        <w:t xml:space="preserve">000 older people. While regions such as West Pomerania (Poland) and Kyushu, Okinawa (Japan) had </w:t>
      </w:r>
      <w:r>
        <w:t>more than</w:t>
      </w:r>
      <w:r w:rsidRPr="00BB2468">
        <w:t xml:space="preserve"> 50</w:t>
      </w:r>
      <w:r>
        <w:t> </w:t>
      </w:r>
      <w:r w:rsidRPr="00BB2468">
        <w:t>hospital beds per every 1 000 older people, hospital bed</w:t>
      </w:r>
      <w:r>
        <w:t xml:space="preserve"> density</w:t>
      </w:r>
      <w:r w:rsidRPr="00BB2468">
        <w:t xml:space="preserve"> was below</w:t>
      </w:r>
      <w:r>
        <w:t> </w:t>
      </w:r>
      <w:r w:rsidRPr="00BB2468">
        <w:t>10 per 1</w:t>
      </w:r>
      <w:r>
        <w:t> </w:t>
      </w:r>
      <w:r w:rsidRPr="00BB2468">
        <w:t xml:space="preserve">000 older people in Coahuila (Mexico) and Central Greece. Such large disparities undermine the </w:t>
      </w:r>
      <w:r>
        <w:t xml:space="preserve">timely and adequate </w:t>
      </w:r>
      <w:r w:rsidRPr="00BB2468">
        <w:t xml:space="preserve">delivery of services and </w:t>
      </w:r>
      <w:r>
        <w:t>create un</w:t>
      </w:r>
      <w:r w:rsidRPr="00BB2468">
        <w:t xml:space="preserve">equal health care outcomes within countries. </w:t>
      </w:r>
    </w:p>
    <w:p w:rsidR="00473421" w:rsidRPr="00BF53BC" w:rsidRDefault="00473421" w:rsidP="0075163D">
      <w:pPr>
        <w:pStyle w:val="Textodecuerpo"/>
      </w:pPr>
      <w:r>
        <w:t>I</w:t>
      </w:r>
      <w:r w:rsidRPr="00BF53BC">
        <w:t>n emerging economies urban and rural areas</w:t>
      </w:r>
      <w:r>
        <w:t xml:space="preserve"> differ strongly in access to health</w:t>
      </w:r>
      <w:r w:rsidRPr="00BF53BC">
        <w:t xml:space="preserve"> </w:t>
      </w:r>
      <w:r>
        <w:t>services (OECD, 2017a)</w:t>
      </w:r>
      <w:r w:rsidRPr="00BF53BC">
        <w:t xml:space="preserve">. </w:t>
      </w:r>
      <w:r w:rsidRPr="002F48C6">
        <w:t xml:space="preserve">Rural residents typically face challenges in </w:t>
      </w:r>
      <w:r>
        <w:t>getting</w:t>
      </w:r>
      <w:r w:rsidRPr="002F48C6">
        <w:t xml:space="preserve"> medical care and support services due to </w:t>
      </w:r>
      <w:r>
        <w:t>long</w:t>
      </w:r>
      <w:r w:rsidRPr="002F48C6">
        <w:t xml:space="preserve"> and sometimes difficult travel and </w:t>
      </w:r>
      <w:r>
        <w:t>few</w:t>
      </w:r>
      <w:r w:rsidRPr="002F48C6">
        <w:t xml:space="preserve"> health care facilities. Further</w:t>
      </w:r>
      <w:r>
        <w:t>more</w:t>
      </w:r>
      <w:r w:rsidRPr="002F48C6">
        <w:t xml:space="preserve">, </w:t>
      </w:r>
      <w:r>
        <w:t xml:space="preserve">rural patients </w:t>
      </w:r>
      <w:r w:rsidRPr="002F48C6">
        <w:t>may be on average older, poorer, less educated</w:t>
      </w:r>
      <w:r>
        <w:t xml:space="preserve"> and less likely to have insurance.</w:t>
      </w:r>
      <w:r w:rsidRPr="002F48C6">
        <w:t xml:space="preserve"> </w:t>
      </w:r>
    </w:p>
    <w:p w:rsidR="00473421" w:rsidRPr="00555FD9" w:rsidRDefault="00473421" w:rsidP="0075163D">
      <w:pPr>
        <w:pStyle w:val="FigureTitle"/>
      </w:pPr>
      <w:bookmarkStart w:id="48" w:name="_Toc493088654"/>
      <w:r w:rsidRPr="00555FD9">
        <w:rPr>
          <w:iCs/>
        </w:rPr>
        <w:t>Figure 1.2</w:t>
      </w:r>
      <w:r>
        <w:rPr>
          <w:iCs/>
        </w:rPr>
        <w:t>2</w:t>
      </w:r>
      <w:r w:rsidRPr="00555FD9">
        <w:rPr>
          <w:iCs/>
        </w:rPr>
        <w:t xml:space="preserve">. Regional disparity </w:t>
      </w:r>
      <w:r>
        <w:rPr>
          <w:iCs/>
        </w:rPr>
        <w:t xml:space="preserve">(TL2) </w:t>
      </w:r>
      <w:r w:rsidRPr="00555FD9">
        <w:rPr>
          <w:iCs/>
        </w:rPr>
        <w:t>in the number of active physicians per 1 000 older people, 2013</w:t>
      </w:r>
      <w:bookmarkEnd w:id="48"/>
      <w:r w:rsidRPr="00555FD9">
        <w:fldChar w:fldCharType="begin"/>
      </w:r>
      <w:r w:rsidRPr="00555FD9">
        <w:instrText xml:space="preserve"> TC \f f \l 2 "Figure </w:instrText>
      </w:r>
      <w:r w:rsidRPr="00555FD9">
        <w:fldChar w:fldCharType="begin"/>
      </w:r>
      <w:r w:rsidRPr="00555FD9">
        <w:instrText xml:space="preserve"> SEQ  \c figure</w:instrText>
      </w:r>
      <w:r w:rsidRPr="00555FD9">
        <w:fldChar w:fldCharType="separate"/>
      </w:r>
      <w:r w:rsidR="00235C4A">
        <w:rPr>
          <w:noProof/>
        </w:rPr>
        <w:instrText>1</w:instrText>
      </w:r>
      <w:r w:rsidRPr="00555FD9">
        <w:fldChar w:fldCharType="end"/>
      </w:r>
      <w:r w:rsidRPr="00555FD9">
        <w:instrText>.</w:instrText>
      </w:r>
      <w:r w:rsidRPr="00555FD9">
        <w:tab/>
        <w:instrText>Number of active physicians per 1000 people 65+ (2014)"</w:instrText>
      </w:r>
      <w:r w:rsidR="00306221">
        <w:instrText xml:space="preserve"> </w:instrText>
      </w:r>
      <w:r w:rsidRPr="00555FD9">
        <w:fldChar w:fldCharType="end"/>
      </w:r>
    </w:p>
    <w:p w:rsidR="00473421" w:rsidRDefault="000240DE" w:rsidP="0075163D">
      <w:pPr>
        <w:pStyle w:val="SourceDescription"/>
        <w:spacing w:after="120"/>
        <w:jc w:val="center"/>
        <w:rPr>
          <w:i/>
        </w:rPr>
      </w:pPr>
      <w:r w:rsidRPr="000240DE">
        <w:rPr>
          <w:noProof/>
          <w:lang w:val="es-ES" w:eastAsia="es-ES"/>
        </w:rPr>
        <w:drawing>
          <wp:inline distT="0" distB="0" distL="0" distR="0" wp14:anchorId="1CEFABB7" wp14:editId="319B52E3">
            <wp:extent cx="5554980" cy="254508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4980" cy="2545080"/>
                    </a:xfrm>
                    <a:prstGeom prst="rect">
                      <a:avLst/>
                    </a:prstGeom>
                    <a:noFill/>
                    <a:ln>
                      <a:noFill/>
                    </a:ln>
                  </pic:spPr>
                </pic:pic>
              </a:graphicData>
            </a:graphic>
          </wp:inline>
        </w:drawing>
      </w:r>
    </w:p>
    <w:p w:rsidR="00473421" w:rsidRDefault="00473421" w:rsidP="0075163D">
      <w:pPr>
        <w:pStyle w:val="FigureNote"/>
      </w:pPr>
      <w:r>
        <w:rPr>
          <w:i/>
        </w:rPr>
        <w:t xml:space="preserve">Note: </w:t>
      </w:r>
      <w:r w:rsidRPr="000D6F93">
        <w:t>Latest available years: Chile and United States 2009; Belgium, Canada, Japan and Luxembourg 2010; Greece and Mexico 2011; Australia, Israel, Italy and Sweden 2012</w:t>
      </w:r>
      <w:r w:rsidRPr="000D6F93">
        <w:rPr>
          <w:rFonts w:ascii="Caecilia-Roman" w:hAnsi="Caecilia-Roman" w:cs="Caecilia-Roman"/>
        </w:rPr>
        <w:t>.</w:t>
      </w:r>
      <w:r>
        <w:rPr>
          <w:rFonts w:ascii="Caecilia-Roman" w:hAnsi="Caecilia-Roman" w:cs="Caecilia-Roman"/>
        </w:rPr>
        <w:t xml:space="preserve"> </w:t>
      </w:r>
      <w:r>
        <w:t>Number in brackets indicates ranking according to range.</w:t>
      </w:r>
      <w:r w:rsidR="008B305A">
        <w:t xml:space="preserve"> For example the United States is the country with the largest regional difference, measured by the gap between the regions with the maximum and the minimum ratio of active physicians.</w:t>
      </w:r>
    </w:p>
    <w:p w:rsidR="00473421" w:rsidRDefault="00473421" w:rsidP="00AB4AB5">
      <w:pPr>
        <w:pStyle w:val="SourceDescription"/>
        <w:spacing w:after="120"/>
      </w:pPr>
      <w:r w:rsidRPr="00EC0563">
        <w:rPr>
          <w:i/>
        </w:rPr>
        <w:t>Source</w:t>
      </w:r>
      <w:r w:rsidRPr="00EC0563">
        <w:t xml:space="preserve">: Calculations based on </w:t>
      </w:r>
      <w:r w:rsidRPr="00EC0563">
        <w:rPr>
          <w:i/>
        </w:rPr>
        <w:t>OECD Regional Database</w:t>
      </w:r>
      <w:r w:rsidRPr="00EC0563">
        <w:t xml:space="preserve">. </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1 2</w:t>
      </w:r>
      <w:r w:rsidRPr="00117011">
        <w:rPr>
          <w:rFonts w:ascii="StatLink" w:hAnsi="StatLink" w:cs="StatLink"/>
          <w:color w:val="0000FF"/>
          <w:sz w:val="14"/>
          <w:szCs w:val="14"/>
        </w:rPr>
        <w:t xml:space="preserve"> </w:t>
      </w:r>
      <w:hyperlink r:id="rId84"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10.1787/888933566457</w:t>
      </w:r>
    </w:p>
    <w:p w:rsidR="00DF4C8D" w:rsidRDefault="00DF4C8D">
      <w:pPr>
        <w:rPr>
          <w:b/>
          <w:i/>
          <w:lang w:val="en-US"/>
        </w:rPr>
      </w:pPr>
      <w:r>
        <w:rPr>
          <w:b/>
          <w:i/>
        </w:rPr>
        <w:br w:type="page"/>
      </w:r>
    </w:p>
    <w:p w:rsidR="00473421" w:rsidRPr="00E052C1" w:rsidRDefault="00473421" w:rsidP="0075163D">
      <w:pPr>
        <w:pStyle w:val="Num-DocParagraph"/>
        <w:rPr>
          <w:b/>
          <w:i/>
        </w:rPr>
      </w:pPr>
      <w:r>
        <w:rPr>
          <w:b/>
          <w:i/>
        </w:rPr>
        <w:lastRenderedPageBreak/>
        <w:t>How the oldest old are faring: l</w:t>
      </w:r>
      <w:r w:rsidRPr="00E052C1">
        <w:rPr>
          <w:b/>
          <w:i/>
        </w:rPr>
        <w:t>iving conditions and well-being of the 80+</w:t>
      </w:r>
    </w:p>
    <w:p w:rsidR="00473421" w:rsidRDefault="00473421" w:rsidP="0075163D">
      <w:pPr>
        <w:pStyle w:val="Textodecuerpo"/>
      </w:pPr>
      <w:r>
        <w:t xml:space="preserve">The elderly are a group of particular concern. Their poverty risk is higher and they are more fragile and in need of support services than other groups of the population. </w:t>
      </w:r>
      <w:r w:rsidRPr="005A043B">
        <w:t>The share of people aged</w:t>
      </w:r>
      <w:r>
        <w:t> </w:t>
      </w:r>
      <w:r w:rsidRPr="005A043B">
        <w:t>80 and over is projected to more than double by</w:t>
      </w:r>
      <w:r>
        <w:t> </w:t>
      </w:r>
      <w:r w:rsidRPr="005A043B">
        <w:t>2050</w:t>
      </w:r>
      <w:r>
        <w:t xml:space="preserve"> to </w:t>
      </w:r>
      <w:r w:rsidRPr="005A043B">
        <w:t>9.5% of the total population</w:t>
      </w:r>
      <w:r>
        <w:t>,</w:t>
      </w:r>
      <w:r w:rsidRPr="005A043B">
        <w:t xml:space="preserve"> on average in the OECD, but up to 16% in Japan and Spain. In</w:t>
      </w:r>
      <w:r>
        <w:t> </w:t>
      </w:r>
      <w:r w:rsidRPr="005A043B">
        <w:t>2015, the 80+</w:t>
      </w:r>
      <w:r>
        <w:t xml:space="preserve"> group accounted for </w:t>
      </w:r>
      <w:r w:rsidRPr="005A043B">
        <w:t xml:space="preserve">less than 1% in Colombia, Indonesia, India and South Africa, </w:t>
      </w:r>
      <w:r>
        <w:t>but</w:t>
      </w:r>
      <w:r w:rsidRPr="005A043B">
        <w:t xml:space="preserve"> 8% in </w:t>
      </w:r>
      <w:r>
        <w:t>Japan.</w:t>
      </w:r>
    </w:p>
    <w:p w:rsidR="00473421" w:rsidRPr="008B0CF1" w:rsidRDefault="00473421" w:rsidP="0075163D">
      <w:pPr>
        <w:pStyle w:val="Textodecuerpo"/>
        <w:rPr>
          <w:b/>
        </w:rPr>
      </w:pPr>
      <w:r w:rsidRPr="00786031">
        <w:t>Health status deteriorates with age</w:t>
      </w:r>
      <w:r>
        <w:t>. T</w:t>
      </w:r>
      <w:r w:rsidRPr="00786031">
        <w:t xml:space="preserve">he </w:t>
      </w:r>
      <w:r>
        <w:t>elderly</w:t>
      </w:r>
      <w:r w:rsidRPr="00786031">
        <w:t xml:space="preserve"> are more likely than any other age group to be af</w:t>
      </w:r>
      <w:r w:rsidRPr="007F47F2">
        <w:t>fected by chronic diseases or disabilities</w:t>
      </w:r>
      <w:r>
        <w:t>.</w:t>
      </w:r>
      <w:r w:rsidRPr="007F47F2">
        <w:t xml:space="preserve"> A </w:t>
      </w:r>
      <w:r>
        <w:t>large</w:t>
      </w:r>
      <w:r w:rsidRPr="007F47F2">
        <w:t xml:space="preserve"> share of </w:t>
      </w:r>
      <w:r>
        <w:t>people aged 80+ </w:t>
      </w:r>
      <w:r w:rsidRPr="007F47F2">
        <w:t>report risk factors that threa</w:t>
      </w:r>
      <w:r w:rsidRPr="00FC2234">
        <w:t>ten their health, such as smoking and overweight,</w:t>
      </w:r>
      <w:r>
        <w:t xml:space="preserve"> but this varies strongly by </w:t>
      </w:r>
      <w:r w:rsidRPr="00FC2234">
        <w:t>gender and countr</w:t>
      </w:r>
      <w:r>
        <w:t>y</w:t>
      </w:r>
      <w:r w:rsidRPr="00FC2234">
        <w:t>. Already</w:t>
      </w:r>
      <w:r>
        <w:t xml:space="preserve"> today,</w:t>
      </w:r>
      <w:r w:rsidRPr="00FC2234">
        <w:t xml:space="preserve"> a large proportion of the elderly are overweight in many countries. </w:t>
      </w:r>
      <w:r>
        <w:t>O</w:t>
      </w:r>
      <w:r w:rsidRPr="00FC2234">
        <w:t>ne in five men aged</w:t>
      </w:r>
      <w:r>
        <w:t> </w:t>
      </w:r>
      <w:r w:rsidRPr="00FC2234">
        <w:t>80+ are obese in England and Slovenia, a</w:t>
      </w:r>
      <w:r w:rsidRPr="00EA30E6">
        <w:t xml:space="preserve">nd the proportion is even higher for women in </w:t>
      </w:r>
      <w:r>
        <w:t xml:space="preserve">the </w:t>
      </w:r>
      <w:r w:rsidRPr="00EA30E6">
        <w:t>Czech Republic</w:t>
      </w:r>
      <w:r>
        <w:t>,</w:t>
      </w:r>
      <w:r w:rsidRPr="00EA30E6">
        <w:t xml:space="preserve"> England, Estonia and Spain.</w:t>
      </w:r>
    </w:p>
    <w:p w:rsidR="00473421" w:rsidRDefault="00473421" w:rsidP="0075163D">
      <w:pPr>
        <w:pStyle w:val="Textodecuerpo"/>
      </w:pPr>
      <w:r>
        <w:t>While most</w:t>
      </w:r>
      <w:r w:rsidRPr="005A043B">
        <w:t xml:space="preserve"> elderly age without </w:t>
      </w:r>
      <w:r>
        <w:t xml:space="preserve">severe </w:t>
      </w:r>
      <w:r w:rsidRPr="005A043B">
        <w:t>disabilit</w:t>
      </w:r>
      <w:r>
        <w:t>ies</w:t>
      </w:r>
      <w:r w:rsidRPr="005A043B">
        <w:t xml:space="preserve">, </w:t>
      </w:r>
      <w:r>
        <w:t xml:space="preserve">physical and mental dependency becomes more likely with age. More than 40% </w:t>
      </w:r>
      <w:r w:rsidRPr="005A043B">
        <w:t xml:space="preserve">of </w:t>
      </w:r>
      <w:r>
        <w:t>the 80+</w:t>
      </w:r>
      <w:r w:rsidRPr="005A043B">
        <w:t xml:space="preserve"> </w:t>
      </w:r>
      <w:r>
        <w:t>face some mobility limitations. D</w:t>
      </w:r>
      <w:r w:rsidRPr="005A043B">
        <w:t>epressi</w:t>
      </w:r>
      <w:r>
        <w:t>on</w:t>
      </w:r>
      <w:r w:rsidRPr="005A043B">
        <w:t xml:space="preserve"> </w:t>
      </w:r>
      <w:r>
        <w:t xml:space="preserve">is frequent </w:t>
      </w:r>
      <w:r w:rsidRPr="005A043B">
        <w:t>among the</w:t>
      </w:r>
      <w:r>
        <w:t>m</w:t>
      </w:r>
      <w:r w:rsidRPr="005A043B">
        <w:t xml:space="preserve"> in England (57% for men and 70% </w:t>
      </w:r>
      <w:r>
        <w:t>for</w:t>
      </w:r>
      <w:r w:rsidRPr="005A043B">
        <w:t xml:space="preserve"> women), Italy (47 and 65%), for men in the United States (48%) and for women in Spain (60%). By contrast, it is relatively low </w:t>
      </w:r>
      <w:r>
        <w:t xml:space="preserve">among Danish, Dutch and Swedish older men, </w:t>
      </w:r>
      <w:r w:rsidRPr="005A043B">
        <w:t xml:space="preserve">and </w:t>
      </w:r>
      <w:r>
        <w:t xml:space="preserve">among older women </w:t>
      </w:r>
      <w:r w:rsidRPr="005A043B">
        <w:t>in Switzerland, the Netherlands and the United States</w:t>
      </w:r>
      <w:r>
        <w:t>. How the health status of the elderly will develop in the future, however, cannot be easily predicted. Rising overweight and obesity and more women smoking may result in worse health.</w:t>
      </w:r>
    </w:p>
    <w:p w:rsidR="00473421" w:rsidRDefault="00473421" w:rsidP="0075163D">
      <w:pPr>
        <w:pStyle w:val="Textodecuerpo"/>
      </w:pPr>
      <w:r>
        <w:t>Material and subjective well-being of the elderly is also affected by f</w:t>
      </w:r>
      <w:r w:rsidRPr="00F24FA8">
        <w:t>amily living arrangements</w:t>
      </w:r>
      <w:r>
        <w:t xml:space="preserve"> and the availability of family carers. The number of the 80+ living in a separate household has increased in most OECD countries over past decades, due to better health and less co-residence of generations. Many countries have also taken measures to help the oldest people stay in their own homes and to support family carers (OECD, 2011b).</w:t>
      </w:r>
      <w:r w:rsidRPr="008D5E72">
        <w:t xml:space="preserve"> </w:t>
      </w:r>
      <w:r>
        <w:t>About two-</w:t>
      </w:r>
      <w:r w:rsidRPr="0090361D">
        <w:t>thirds of women older than 80</w:t>
      </w:r>
      <w:r>
        <w:t> </w:t>
      </w:r>
      <w:r w:rsidRPr="0090361D">
        <w:t>years live alone on average across countries, compared with about one-third for</w:t>
      </w:r>
      <w:r>
        <w:t xml:space="preserve"> men.</w:t>
      </w:r>
    </w:p>
    <w:p w:rsidR="00473421" w:rsidRDefault="00473421" w:rsidP="0075163D">
      <w:pPr>
        <w:pStyle w:val="Textodecuerpo"/>
      </w:pPr>
      <w:r>
        <w:t xml:space="preserve">In the vast majority of countries, </w:t>
      </w:r>
      <w:r w:rsidRPr="000C62AD">
        <w:t>the 80+ who live alone are much more likely to be poor than those who pool their income with other adults (Figure</w:t>
      </w:r>
      <w:r>
        <w:t> </w:t>
      </w:r>
      <w:r w:rsidRPr="000C62AD">
        <w:t>1.23). But</w:t>
      </w:r>
      <w:r>
        <w:t xml:space="preserve"> poverty rates of this group vary: more than one in three live in poverty in Estonia, Slovenia and Switzerland, but less than one in twenty in Hungary and Spain. </w:t>
      </w:r>
    </w:p>
    <w:p w:rsidR="00473421" w:rsidRDefault="00473421" w:rsidP="0075163D">
      <w:pPr>
        <w:pStyle w:val="FigureTitle"/>
      </w:pPr>
      <w:bookmarkStart w:id="49" w:name="_Toc493088655"/>
      <w:r w:rsidRPr="00843B8A">
        <w:t xml:space="preserve">Figure </w:t>
      </w:r>
      <w:r>
        <w:t>1.23</w:t>
      </w:r>
      <w:r w:rsidRPr="00843B8A">
        <w:t>. Poverty</w:t>
      </w:r>
      <w:r w:rsidRPr="00926CD5">
        <w:t xml:space="preserve"> rates of the 80+ by </w:t>
      </w:r>
      <w:r>
        <w:t xml:space="preserve">family </w:t>
      </w:r>
      <w:r w:rsidRPr="00926CD5">
        <w:t>living arrangements</w:t>
      </w:r>
      <w:bookmarkEnd w:id="49"/>
      <w:r w:rsidRPr="00926CD5">
        <w:t xml:space="preserve"> </w:t>
      </w:r>
    </w:p>
    <w:p w:rsidR="00473421" w:rsidRPr="00E4704D" w:rsidRDefault="00473421" w:rsidP="0075163D">
      <w:pPr>
        <w:pStyle w:val="FigureSub-title"/>
      </w:pPr>
      <w:r w:rsidRPr="00E4704D">
        <w:t>Percentage of the 80+ with an equivalised income below 50% of the median</w:t>
      </w:r>
    </w:p>
    <w:p w:rsidR="00473421" w:rsidRPr="00670627" w:rsidRDefault="00473421" w:rsidP="0075163D">
      <w:pPr>
        <w:pStyle w:val="FigureSub-title"/>
      </w:pPr>
      <w:r w:rsidRPr="00071487">
        <w:rPr>
          <w:noProof/>
          <w:lang w:val="es-ES" w:eastAsia="es-ES"/>
        </w:rPr>
        <w:drawing>
          <wp:inline distT="0" distB="0" distL="0" distR="0" wp14:anchorId="2EC7AC47" wp14:editId="3D28E327">
            <wp:extent cx="5554980" cy="25450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54980" cy="2545080"/>
                    </a:xfrm>
                    <a:prstGeom prst="rect">
                      <a:avLst/>
                    </a:prstGeom>
                    <a:noFill/>
                    <a:ln>
                      <a:noFill/>
                    </a:ln>
                  </pic:spPr>
                </pic:pic>
              </a:graphicData>
            </a:graphic>
          </wp:inline>
        </w:drawing>
      </w:r>
    </w:p>
    <w:p w:rsidR="00473421" w:rsidRPr="00D51A14" w:rsidRDefault="00473421" w:rsidP="00AB4AB5">
      <w:pPr>
        <w:pStyle w:val="SourceDescription"/>
        <w:spacing w:after="120"/>
        <w:rPr>
          <w:lang w:val="fr-FR"/>
        </w:rPr>
      </w:pPr>
      <w:r w:rsidRPr="00D51A14">
        <w:rPr>
          <w:i/>
          <w:lang w:val="fr-FR"/>
        </w:rPr>
        <w:t>Source</w:t>
      </w:r>
      <w:r w:rsidRPr="00D51A14">
        <w:rPr>
          <w:lang w:val="fr-FR"/>
        </w:rPr>
        <w:t xml:space="preserve">: EU-SILC, 2014. </w:t>
      </w:r>
    </w:p>
    <w:p w:rsidR="00117011" w:rsidRPr="00D51A14" w:rsidRDefault="00AB4AB5" w:rsidP="00AB4AB5">
      <w:pPr>
        <w:autoSpaceDE w:val="0"/>
        <w:autoSpaceDN w:val="0"/>
        <w:adjustRightInd w:val="0"/>
        <w:spacing w:after="240"/>
        <w:jc w:val="right"/>
        <w:rPr>
          <w:i/>
          <w:iCs/>
          <w:color w:val="000000"/>
          <w:sz w:val="14"/>
          <w:szCs w:val="14"/>
          <w:lang w:val="fr-FR"/>
        </w:rPr>
      </w:pPr>
      <w:r w:rsidRPr="00D51A14">
        <w:rPr>
          <w:rFonts w:ascii="StatLink" w:hAnsi="StatLink" w:cs="StatLink"/>
          <w:color w:val="000000"/>
          <w:sz w:val="14"/>
          <w:szCs w:val="14"/>
          <w:lang w:val="fr-FR"/>
        </w:rPr>
        <w:t xml:space="preserve">1 2 </w:t>
      </w:r>
      <w:hyperlink r:id="rId86" w:history="1">
        <w:r w:rsidR="00117011" w:rsidRPr="00D51A14">
          <w:rPr>
            <w:rStyle w:val="Hipervnculo"/>
            <w:i/>
            <w:iCs/>
            <w:color w:val="0000FF"/>
            <w:sz w:val="14"/>
            <w:szCs w:val="14"/>
            <w:lang w:val="fr-FR"/>
          </w:rPr>
          <w:t>http://dx.doi.org/</w:t>
        </w:r>
      </w:hyperlink>
      <w:r w:rsidR="003B3C8E" w:rsidRPr="00D51A14">
        <w:rPr>
          <w:rStyle w:val="Hipervnculo"/>
          <w:i/>
          <w:iCs/>
          <w:color w:val="0000FF"/>
          <w:sz w:val="14"/>
          <w:szCs w:val="14"/>
          <w:lang w:val="fr-FR"/>
        </w:rPr>
        <w:t>10.1787/888933566476</w:t>
      </w:r>
    </w:p>
    <w:p w:rsidR="00473421" w:rsidRDefault="00473421" w:rsidP="0075163D">
      <w:pPr>
        <w:pStyle w:val="Ttulo3"/>
      </w:pPr>
      <w:r>
        <w:t>Support for the final years: Inequalities in l</w:t>
      </w:r>
      <w:r w:rsidRPr="0061667F">
        <w:t>ong-term care</w:t>
      </w:r>
    </w:p>
    <w:p w:rsidR="00473421" w:rsidRPr="000C62AD" w:rsidRDefault="00473421" w:rsidP="0075163D">
      <w:pPr>
        <w:pStyle w:val="Textodecuerpo"/>
      </w:pPr>
      <w:r>
        <w:t>The impact of dependency is felt more acutely by people with lower socio</w:t>
      </w:r>
      <w:r w:rsidR="00B54C38">
        <w:t>-</w:t>
      </w:r>
      <w:r>
        <w:t xml:space="preserve">economic status. Not only are they more likely to develop disabilities and need long-term care (LTC), they also are less able to afford its costs. All OECD countries for which data are available provide some social protection to help pay for LTC, but the support varies. </w:t>
      </w:r>
      <w:r w:rsidRPr="000932A0">
        <w:t>Someone with median income receiving home care for moderate needs in some US</w:t>
      </w:r>
      <w:r>
        <w:t> </w:t>
      </w:r>
      <w:r w:rsidRPr="000932A0">
        <w:t>states may have as little as 6% of the cost of their care paid by the social protection system</w:t>
      </w:r>
      <w:r>
        <w:t>. This compares to about 45</w:t>
      </w:r>
      <w:r w:rsidRPr="000C62AD">
        <w:t>% in the Czech Republic and Israel and almost 100% in Sweden, Iceland and the Netherlands.</w:t>
      </w:r>
    </w:p>
    <w:p w:rsidR="00473421" w:rsidRPr="009A1BC3" w:rsidRDefault="00473421" w:rsidP="0075163D">
      <w:pPr>
        <w:pStyle w:val="Textodecuerpo"/>
      </w:pPr>
      <w:r w:rsidRPr="000C62AD">
        <w:t>Figure</w:t>
      </w:r>
      <w:r>
        <w:t> </w:t>
      </w:r>
      <w:r w:rsidRPr="000C62AD">
        <w:t>1.24 shows how the disposable</w:t>
      </w:r>
      <w:r w:rsidRPr="009A1BC3">
        <w:t xml:space="preserve"> incomes of older people in OECD countries relate to the poverty threshold, before and after they have paid out-of-pocket costs for moderate LTC needs through home care. In some countries, such as Slovenia and Korea, low-income older people (20</w:t>
      </w:r>
      <w:r w:rsidRPr="009A1BC3">
        <w:rPr>
          <w:vertAlign w:val="superscript"/>
        </w:rPr>
        <w:t>th</w:t>
      </w:r>
      <w:r>
        <w:rPr>
          <w:vertAlign w:val="superscript"/>
        </w:rPr>
        <w:t> </w:t>
      </w:r>
      <w:r w:rsidRPr="009A1BC3">
        <w:t>percentile of the income distribution) are already below the poverty threshold. These people are likely already struggling with the cost of living, yet they would need to spend around a third of their disposable income on LTC. Low-income older people in other countries, such as France</w:t>
      </w:r>
      <w:r w:rsidRPr="009A1BC3">
        <w:rPr>
          <w:rStyle w:val="Refdenotaalfinal"/>
        </w:rPr>
        <w:endnoteReference w:id="20"/>
      </w:r>
      <w:r w:rsidRPr="009A1BC3">
        <w:t xml:space="preserve"> and the Czech Republic, are relatively better off, but would still have to pay out-of-pocket costs that would leave them well below the poverty threshold. In all of these countries, people with high incomes face larger absolute costs, but are able to afford them without falling into poverty.</w:t>
      </w:r>
    </w:p>
    <w:p w:rsidR="00473421" w:rsidRPr="000932A0" w:rsidRDefault="00473421" w:rsidP="0075163D">
      <w:pPr>
        <w:pStyle w:val="FigureTitle"/>
      </w:pPr>
      <w:bookmarkStart w:id="50" w:name="_Toc493088656"/>
      <w:r w:rsidRPr="00127CDA">
        <w:t xml:space="preserve">Figure </w:t>
      </w:r>
      <w:r>
        <w:t>1.24</w:t>
      </w:r>
      <w:r w:rsidRPr="00127CDA">
        <w:t>.</w:t>
      </w:r>
      <w:r w:rsidRPr="000932A0">
        <w:t xml:space="preserve"> Disposable income before and after care costs for people receiving home care for moderate needs in OECD countries, as a percentage of the relative poverty threshold</w:t>
      </w:r>
      <w:bookmarkEnd w:id="50"/>
    </w:p>
    <w:p w:rsidR="00473421" w:rsidRDefault="00473421" w:rsidP="0075163D">
      <w:pPr>
        <w:pStyle w:val="FigureNote"/>
        <w:spacing w:before="120"/>
        <w:jc w:val="center"/>
        <w:rPr>
          <w:i/>
        </w:rPr>
      </w:pPr>
      <w:r w:rsidRPr="00071487">
        <w:rPr>
          <w:noProof/>
          <w:lang w:val="es-ES" w:eastAsia="es-ES"/>
        </w:rPr>
        <w:drawing>
          <wp:inline distT="0" distB="0" distL="0" distR="0" wp14:anchorId="649F3452" wp14:editId="4AA70FDF">
            <wp:extent cx="5554980" cy="25450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54980" cy="2545080"/>
                    </a:xfrm>
                    <a:prstGeom prst="rect">
                      <a:avLst/>
                    </a:prstGeom>
                    <a:noFill/>
                    <a:ln>
                      <a:noFill/>
                    </a:ln>
                  </pic:spPr>
                </pic:pic>
              </a:graphicData>
            </a:graphic>
          </wp:inline>
        </w:drawing>
      </w:r>
    </w:p>
    <w:p w:rsidR="00473421" w:rsidRPr="00071487" w:rsidRDefault="00473421" w:rsidP="0075163D">
      <w:pPr>
        <w:pStyle w:val="FigureNote"/>
        <w:spacing w:before="120"/>
      </w:pPr>
      <w:r w:rsidRPr="00071487">
        <w:rPr>
          <w:i/>
        </w:rPr>
        <w:t>Note</w:t>
      </w:r>
      <w:r w:rsidRPr="00071487">
        <w:t>: Disposable income of home care recipients with moderate needs before and after their out-of-pocket contribution to care costs. “Moderate needs” denotes 22 ½ hours of care per week. The relative poverty threshold is half the median disposable income for the whole population. 20 pctl refers to 20</w:t>
      </w:r>
      <w:r w:rsidRPr="00071487">
        <w:rPr>
          <w:vertAlign w:val="superscript"/>
        </w:rPr>
        <w:t>th</w:t>
      </w:r>
      <w:r w:rsidRPr="00071487">
        <w:t> income percentile; 80 pctl refers to 80</w:t>
      </w:r>
      <w:r w:rsidRPr="00071487">
        <w:rPr>
          <w:vertAlign w:val="superscript"/>
        </w:rPr>
        <w:t>th</w:t>
      </w:r>
      <w:r w:rsidRPr="00071487">
        <w:t> income percentile. Percentiles refer to the distribution of disposable income among the over</w:t>
      </w:r>
      <w:r w:rsidRPr="00071487">
        <w:noBreakHyphen/>
        <w:t>65s in each country. Analysis assumes that people do not have savings which they can use to pay for care.</w:t>
      </w:r>
    </w:p>
    <w:p w:rsidR="00473421" w:rsidRDefault="00473421" w:rsidP="00AB4AB5">
      <w:pPr>
        <w:pStyle w:val="SourceDescription"/>
        <w:spacing w:after="120"/>
        <w:rPr>
          <w:color w:val="0000FF"/>
          <w:lang w:val="en"/>
        </w:rPr>
      </w:pPr>
      <w:r w:rsidRPr="00625257">
        <w:rPr>
          <w:i/>
        </w:rPr>
        <w:t>Source</w:t>
      </w:r>
      <w:r>
        <w:t xml:space="preserve">: </w:t>
      </w:r>
      <w:r w:rsidR="003D537D" w:rsidRPr="002C7E91">
        <w:t xml:space="preserve">Muir, T. (2017), </w:t>
      </w:r>
      <w:r w:rsidR="003D537D">
        <w:t>“</w:t>
      </w:r>
      <w:r w:rsidR="003D537D">
        <w:rPr>
          <w:lang w:val="en"/>
        </w:rPr>
        <w:t xml:space="preserve">Measuring Social Protection for Long-term Care”, </w:t>
      </w:r>
      <w:r w:rsidR="003D537D">
        <w:rPr>
          <w:rStyle w:val="Enfasis"/>
          <w:lang w:val="en"/>
        </w:rPr>
        <w:t>OECD Health Working Papers</w:t>
      </w:r>
      <w:r w:rsidR="003D537D">
        <w:rPr>
          <w:lang w:val="en"/>
        </w:rPr>
        <w:t xml:space="preserve">, No. 93, OECD Publishing, Paris, </w:t>
      </w:r>
      <w:r w:rsidR="00315185">
        <w:fldChar w:fldCharType="begin"/>
      </w:r>
      <w:r w:rsidR="00315185">
        <w:instrText xml:space="preserve"> HYPERLINK "http://dx.doi.org/10.1787/a411500a-en" \t "_blank" \o "http://dx.doi.org/10.1787/a411500a-en" </w:instrText>
      </w:r>
      <w:r w:rsidR="00315185">
        <w:fldChar w:fldCharType="separate"/>
      </w:r>
      <w:r w:rsidR="003D537D" w:rsidRPr="00306221">
        <w:rPr>
          <w:rStyle w:val="Hipervnculo"/>
          <w:color w:val="0000FF"/>
          <w:u w:val="single"/>
          <w:lang w:val="en"/>
        </w:rPr>
        <w:t>http://dx.doi.org/10.1787/a411500a-en</w:t>
      </w:r>
      <w:r w:rsidR="00315185">
        <w:rPr>
          <w:rStyle w:val="Hipervnculo"/>
          <w:color w:val="0000FF"/>
          <w:u w:val="single"/>
          <w:lang w:val="en"/>
        </w:rPr>
        <w:fldChar w:fldCharType="end"/>
      </w:r>
      <w:r w:rsidR="003D537D">
        <w:rPr>
          <w:color w:val="0000FF"/>
          <w:lang w:val="en"/>
        </w:rPr>
        <w:t>.</w:t>
      </w:r>
    </w:p>
    <w:p w:rsidR="00117011" w:rsidRDefault="00AB4AB5" w:rsidP="00AB4AB5">
      <w:pPr>
        <w:autoSpaceDE w:val="0"/>
        <w:autoSpaceDN w:val="0"/>
        <w:adjustRightInd w:val="0"/>
        <w:spacing w:after="240"/>
        <w:jc w:val="right"/>
        <w:rPr>
          <w:i/>
          <w:iCs/>
          <w:color w:val="000000"/>
          <w:sz w:val="14"/>
          <w:szCs w:val="14"/>
        </w:rPr>
      </w:pPr>
      <w:r w:rsidRPr="001766F9">
        <w:rPr>
          <w:rFonts w:ascii="StatLink" w:hAnsi="StatLink" w:cs="StatLink"/>
          <w:color w:val="000000"/>
          <w:sz w:val="14"/>
          <w:szCs w:val="14"/>
        </w:rPr>
        <w:t xml:space="preserve">1 2 </w:t>
      </w:r>
      <w:hyperlink r:id="rId88" w:history="1">
        <w:r w:rsidR="00117011" w:rsidRPr="00117011">
          <w:rPr>
            <w:rStyle w:val="Hipervnculo"/>
            <w:i/>
            <w:iCs/>
            <w:color w:val="0000FF"/>
            <w:sz w:val="14"/>
            <w:szCs w:val="14"/>
          </w:rPr>
          <w:t>http://dx.doi.org/</w:t>
        </w:r>
      </w:hyperlink>
      <w:r w:rsidR="003B3C8E" w:rsidRPr="003B3C8E">
        <w:rPr>
          <w:rStyle w:val="Hipervnculo"/>
          <w:i/>
          <w:iCs/>
          <w:color w:val="0000FF"/>
          <w:sz w:val="14"/>
          <w:szCs w:val="14"/>
        </w:rPr>
        <w:t>10.1787/888933566495</w:t>
      </w:r>
    </w:p>
    <w:p w:rsidR="00473421" w:rsidRDefault="00473421" w:rsidP="0075163D">
      <w:pPr>
        <w:pStyle w:val="Textodecuerpo"/>
      </w:pPr>
      <w:r w:rsidRPr="00FA2393">
        <w:t>Meeting</w:t>
      </w:r>
      <w:r>
        <w:t xml:space="preserve"> LTC needs through professional home care is therefore an unattractive option for low-income people in some OECD countries. However, in no OECD country for which data are available is anyone denied access to institutional care because their income is too low. Many OECD countries aim to help people with LTC needs to stay in their own homes for as long as possible, but inadequate social protection means this option is not always accessible to poorer people.</w:t>
      </w:r>
    </w:p>
    <w:p w:rsidR="00473421" w:rsidRDefault="00473421" w:rsidP="0075163D">
      <w:pPr>
        <w:pStyle w:val="Textodecuerpo"/>
      </w:pPr>
      <w:r w:rsidRPr="00C13126">
        <w:t>Informal care is not costless</w:t>
      </w:r>
      <w:r>
        <w:t xml:space="preserve"> either as carers give up</w:t>
      </w:r>
      <w:r w:rsidRPr="00C13126">
        <w:t xml:space="preserve"> time for paid work or leisure. Caring can also affect health and employment prospects: </w:t>
      </w:r>
      <w:r>
        <w:t xml:space="preserve">informal </w:t>
      </w:r>
      <w:r w:rsidRPr="00C13126">
        <w:t>carers have 20% more mental health problems than other people and are more likely to stop working or reduce their hours (</w:t>
      </w:r>
      <w:r>
        <w:t>OECD</w:t>
      </w:r>
      <w:r w:rsidRPr="00C13126">
        <w:t>, 2011</w:t>
      </w:r>
      <w:r>
        <w:t>c</w:t>
      </w:r>
      <w:r w:rsidRPr="00C13126">
        <w:t>). These costs are borne disproportionately by women, who make up between 55% and 70% of informal carers in OECD countries (OECD, 2015c). In low social protection countries</w:t>
      </w:r>
      <w:r>
        <w:t xml:space="preserve"> (those spending less than 1% of GDP on publicly-funded LTC)</w:t>
      </w:r>
      <w:r w:rsidRPr="00C13126">
        <w:t>, women were 41% more likely than men to report providing daily informal care, against 23% in high social protection countries</w:t>
      </w:r>
      <w:r>
        <w:t xml:space="preserve"> (i.e. spending more than 2% of GDP on publicly-funded LTC)</w:t>
      </w:r>
      <w:r w:rsidRPr="00C13126">
        <w:t>.</w:t>
      </w:r>
    </w:p>
    <w:p w:rsidR="00473421" w:rsidRDefault="00473421" w:rsidP="0075163D">
      <w:pPr>
        <w:pStyle w:val="Textodecuerpo"/>
      </w:pPr>
      <w:r w:rsidRPr="00C13126">
        <w:t xml:space="preserve">Changes in female labour force participation mean that younger generations of women are more likely to have full careers. </w:t>
      </w:r>
      <w:r>
        <w:t>In theory, this may</w:t>
      </w:r>
      <w:r w:rsidRPr="00C13126">
        <w:t xml:space="preserve"> reduc</w:t>
      </w:r>
      <w:r>
        <w:t>e</w:t>
      </w:r>
      <w:r w:rsidRPr="00C13126">
        <w:t xml:space="preserve"> the number of women providing informal care and increas</w:t>
      </w:r>
      <w:r>
        <w:t>e</w:t>
      </w:r>
      <w:r w:rsidRPr="00C13126">
        <w:t xml:space="preserve"> demand for LTC (see for example de la Maisonneuve and Oliveira Martins, 2013). However, patterns of care provision among current over-50s </w:t>
      </w:r>
      <w:r>
        <w:t>suggest that in practice w</w:t>
      </w:r>
      <w:r w:rsidRPr="00C13126">
        <w:t>omen who have had full careers are no less likely to provide informal care than those who have spent ten or more years out of work (e.g. to raise a family). This suggests that, even as more women work full careers, they will continue to provide large amounts of informal care</w:t>
      </w:r>
      <w:r>
        <w:t>, which might contribute to the long-term impoverishment of women</w:t>
      </w:r>
      <w:r w:rsidRPr="00C13126">
        <w:t>. Adequate social protection and support</w:t>
      </w:r>
      <w:r>
        <w:t xml:space="preserve"> for</w:t>
      </w:r>
      <w:r w:rsidRPr="00C13126">
        <w:t xml:space="preserve"> carers will be important in limiting gender disparities.</w:t>
      </w:r>
    </w:p>
    <w:p w:rsidR="00473421" w:rsidRDefault="00473421" w:rsidP="0075163D">
      <w:pPr>
        <w:pStyle w:val="Textodecuerpo"/>
      </w:pPr>
      <w:r>
        <w:t xml:space="preserve">In emerging economies, </w:t>
      </w:r>
      <w:r w:rsidRPr="00E066E6">
        <w:t xml:space="preserve">families traditionally </w:t>
      </w:r>
      <w:r>
        <w:t>used to take</w:t>
      </w:r>
      <w:r w:rsidRPr="00E066E6">
        <w:t xml:space="preserve"> care</w:t>
      </w:r>
      <w:r>
        <w:t xml:space="preserve"> of their older relatives. While the elderly typically remain an integral part of the family unit</w:t>
      </w:r>
      <w:r w:rsidRPr="002F48C6">
        <w:t xml:space="preserve">, the family support system is not as robust as it </w:t>
      </w:r>
      <w:r>
        <w:t xml:space="preserve">used to be. As a consequence of decreasing birth rates and </w:t>
      </w:r>
      <w:r w:rsidRPr="002F48C6">
        <w:t xml:space="preserve">increasing mobility of the younger generations </w:t>
      </w:r>
      <w:r>
        <w:t xml:space="preserve">it </w:t>
      </w:r>
      <w:r w:rsidRPr="002F48C6">
        <w:t xml:space="preserve">is predicted to further </w:t>
      </w:r>
      <w:r>
        <w:t>erode (ILC</w:t>
      </w:r>
      <w:r w:rsidR="00A9006E">
        <w:t> </w:t>
      </w:r>
      <w:r>
        <w:t xml:space="preserve">Global Alliance, 2009). In addition, the </w:t>
      </w:r>
      <w:r w:rsidRPr="001279DC">
        <w:t xml:space="preserve">larger </w:t>
      </w:r>
      <w:r>
        <w:t xml:space="preserve">cohorts that are advancing to older ages </w:t>
      </w:r>
      <w:r w:rsidRPr="00E066E6">
        <w:t>have</w:t>
      </w:r>
      <w:r>
        <w:t xml:space="preserve"> </w:t>
      </w:r>
      <w:r w:rsidRPr="00E066E6">
        <w:t>been more</w:t>
      </w:r>
      <w:r>
        <w:t xml:space="preserve"> </w:t>
      </w:r>
      <w:r w:rsidRPr="00E066E6">
        <w:t>exposed to risks related to non-communicable diseases, making them</w:t>
      </w:r>
      <w:r>
        <w:t xml:space="preserve"> </w:t>
      </w:r>
      <w:r w:rsidRPr="00E066E6">
        <w:t>more vulnerable to disabilities that require LTC</w:t>
      </w:r>
      <w:r>
        <w:t xml:space="preserve"> (World Bank, 2016). Combined with </w:t>
      </w:r>
      <w:r w:rsidRPr="001279DC">
        <w:t xml:space="preserve">still nascent </w:t>
      </w:r>
      <w:r>
        <w:t>formal LTC</w:t>
      </w:r>
      <w:r w:rsidRPr="001279DC">
        <w:t xml:space="preserve"> systems</w:t>
      </w:r>
      <w:r>
        <w:t>,</w:t>
      </w:r>
      <w:r w:rsidRPr="001279DC">
        <w:t xml:space="preserve"> </w:t>
      </w:r>
      <w:r>
        <w:t xml:space="preserve">these </w:t>
      </w:r>
      <w:r w:rsidRPr="00137EA8">
        <w:t>developments are demanding a more rapid LTC policy response across emerging economies, including through public support for civilian-run care homes or strengthened community health care services.</w:t>
      </w:r>
    </w:p>
    <w:p w:rsidR="00473421" w:rsidRPr="00DE7D55" w:rsidRDefault="00473421" w:rsidP="0075163D">
      <w:pPr>
        <w:pStyle w:val="Textodecuerpo"/>
      </w:pPr>
      <w:r>
        <w:t xml:space="preserve">China is one of the few examples among emerging economies where some LTC schemes already exist. In order to support residential care, for example, </w:t>
      </w:r>
      <w:r w:rsidRPr="002C5B1A">
        <w:t>caregiver support services</w:t>
      </w:r>
      <w:r>
        <w:t xml:space="preserve"> include</w:t>
      </w:r>
      <w:r w:rsidRPr="002C5B1A">
        <w:t xml:space="preserve"> </w:t>
      </w:r>
      <w:r w:rsidRPr="001279DC">
        <w:t xml:space="preserve">short-term training on care skills and </w:t>
      </w:r>
      <w:r>
        <w:t>financial</w:t>
      </w:r>
      <w:r w:rsidRPr="001279DC">
        <w:t xml:space="preserve"> subsidies to caregivers</w:t>
      </w:r>
      <w:r>
        <w:t xml:space="preserve"> (Peng, 2015). Communities have started to provide </w:t>
      </w:r>
      <w:r w:rsidRPr="001279DC">
        <w:t>direct care service</w:t>
      </w:r>
      <w:r>
        <w:t>s</w:t>
      </w:r>
      <w:r w:rsidRPr="001279DC">
        <w:t xml:space="preserve"> </w:t>
      </w:r>
      <w:r>
        <w:t>and</w:t>
      </w:r>
      <w:r w:rsidRPr="001279DC">
        <w:t xml:space="preserve"> subsidies</w:t>
      </w:r>
      <w:r>
        <w:t xml:space="preserve"> in a range of specialised care centres as well as meal services for older people. Meanwhile, public institutions are extending their offer for </w:t>
      </w:r>
      <w:r w:rsidRPr="00137EA8">
        <w:t>example in terms of homes for the elderly in rural areas, hostels or hospices for older persons.</w:t>
      </w:r>
    </w:p>
    <w:p w:rsidR="00473421" w:rsidRPr="00DF4C8D" w:rsidRDefault="00473421" w:rsidP="0075163D">
      <w:pPr>
        <w:pStyle w:val="Ttulo2"/>
        <w:rPr>
          <w:color w:val="4F81BD"/>
        </w:rPr>
      </w:pPr>
      <w:bookmarkStart w:id="51" w:name="_Toc488843959"/>
      <w:bookmarkStart w:id="52" w:name="_Toc491856770"/>
      <w:r w:rsidRPr="00DF4C8D">
        <w:rPr>
          <w:color w:val="4F81BD"/>
        </w:rPr>
        <w:t>5.</w:t>
      </w:r>
      <w:r w:rsidRPr="00DF4C8D">
        <w:rPr>
          <w:color w:val="4F81BD"/>
        </w:rPr>
        <w:tab/>
        <w:t>Policy implications: Preventing, mitigating, coping</w:t>
      </w:r>
      <w:bookmarkEnd w:id="51"/>
      <w:bookmarkEnd w:id="52"/>
    </w:p>
    <w:p w:rsidR="00473421" w:rsidRDefault="00473421" w:rsidP="0075163D">
      <w:pPr>
        <w:pStyle w:val="Textodecuerpo"/>
      </w:pPr>
      <w:r>
        <w:t>This report shows that preventing ageing unequally requires a comprehensive policy approach to help individuals overcome disadvantages over their life course that could cumulate and result in low income and poverty at old age. This approach should take full account of</w:t>
      </w:r>
      <w:r w:rsidRPr="00756943">
        <w:t xml:space="preserve"> the specific </w:t>
      </w:r>
      <w:r>
        <w:t xml:space="preserve">educational, labour market and health </w:t>
      </w:r>
      <w:r w:rsidRPr="00756943">
        <w:t xml:space="preserve">experiences of different </w:t>
      </w:r>
      <w:r>
        <w:t xml:space="preserve">individuals and </w:t>
      </w:r>
      <w:r w:rsidRPr="00756943">
        <w:t>cohorts.</w:t>
      </w:r>
      <w:r>
        <w:t xml:space="preserve"> In the past, policies targeted to </w:t>
      </w:r>
      <w:r w:rsidRPr="00756943">
        <w:t xml:space="preserve">households best represented by the male breadwinner model with stable careers </w:t>
      </w:r>
      <w:r>
        <w:t xml:space="preserve">may have worked for a majority of people. But this is no longer the case. Policies to prevent inequalities from rising over the life cycle will need to take account of the new realities people are facing today in their families, in their workplace, in their careers and in their health and disability risks. As the analysis in this report shows, </w:t>
      </w:r>
      <w:r w:rsidRPr="007220EB">
        <w:t xml:space="preserve">education, health and employment </w:t>
      </w:r>
      <w:r>
        <w:t>experiences</w:t>
      </w:r>
      <w:r w:rsidRPr="007220EB">
        <w:t xml:space="preserve"> </w:t>
      </w:r>
      <w:r>
        <w:t xml:space="preserve">interact and </w:t>
      </w:r>
      <w:r w:rsidRPr="007220EB">
        <w:t>compound inequality</w:t>
      </w:r>
      <w:r>
        <w:t>. This also means that</w:t>
      </w:r>
      <w:r w:rsidRPr="007220EB">
        <w:t xml:space="preserve"> inequality</w:t>
      </w:r>
      <w:r>
        <w:t>-</w:t>
      </w:r>
      <w:r w:rsidRPr="007220EB">
        <w:t>reducing policies</w:t>
      </w:r>
      <w:r w:rsidRPr="007220EB" w:rsidDel="00A94C9B">
        <w:t xml:space="preserve"> </w:t>
      </w:r>
      <w:r w:rsidRPr="007220EB">
        <w:t xml:space="preserve">in one area </w:t>
      </w:r>
      <w:r w:rsidR="004F6831">
        <w:t xml:space="preserve">will spill </w:t>
      </w:r>
      <w:r>
        <w:t xml:space="preserve">over into other areas and thus </w:t>
      </w:r>
      <w:r w:rsidRPr="007220EB">
        <w:t xml:space="preserve">generate greater total returns in terms of welfare than </w:t>
      </w:r>
      <w:r>
        <w:t>when the impacts are only considered in the area of the policy intervention.</w:t>
      </w:r>
    </w:p>
    <w:p w:rsidR="00473421" w:rsidRDefault="00473421" w:rsidP="0075163D">
      <w:pPr>
        <w:pStyle w:val="Textodecuerpo"/>
      </w:pPr>
      <w:r>
        <w:t>Given that events over people’s l</w:t>
      </w:r>
      <w:r w:rsidRPr="00A92DE0">
        <w:t>ife</w:t>
      </w:r>
      <w:r>
        <w:t xml:space="preserve"> </w:t>
      </w:r>
      <w:r w:rsidRPr="00A92DE0">
        <w:t>course</w:t>
      </w:r>
      <w:r>
        <w:t>s</w:t>
      </w:r>
      <w:r w:rsidRPr="00A92DE0">
        <w:t xml:space="preserve"> shape </w:t>
      </w:r>
      <w:r>
        <w:t xml:space="preserve">their ageing experiences, policy efforts to </w:t>
      </w:r>
      <w:r w:rsidRPr="00A92DE0">
        <w:t>limit old-age inequalit</w:t>
      </w:r>
      <w:r>
        <w:t>ies thus cannot rel</w:t>
      </w:r>
      <w:r w:rsidRPr="00A92DE0">
        <w:t xml:space="preserve">y </w:t>
      </w:r>
      <w:r>
        <w:t xml:space="preserve">only on </w:t>
      </w:r>
      <w:r w:rsidRPr="00A92DE0">
        <w:t xml:space="preserve">policies </w:t>
      </w:r>
      <w:r>
        <w:t xml:space="preserve">targeted to </w:t>
      </w:r>
      <w:r w:rsidRPr="00A92DE0">
        <w:t xml:space="preserve">the elderly. </w:t>
      </w:r>
      <w:r>
        <w:t xml:space="preserve">It is more efficient to pick up </w:t>
      </w:r>
      <w:r w:rsidRPr="00A92DE0">
        <w:t xml:space="preserve">inequalities </w:t>
      </w:r>
      <w:r>
        <w:t xml:space="preserve">when they arise </w:t>
      </w:r>
      <w:r w:rsidRPr="00A92DE0">
        <w:t xml:space="preserve">rather than </w:t>
      </w:r>
      <w:r>
        <w:t xml:space="preserve">try to remedy </w:t>
      </w:r>
      <w:r w:rsidRPr="00A92DE0">
        <w:t>their consequences. Th</w:t>
      </w:r>
      <w:r>
        <w:t>is report therefor</w:t>
      </w:r>
      <w:r w:rsidRPr="00A92DE0">
        <w:t>e identif</w:t>
      </w:r>
      <w:r>
        <w:t>ies</w:t>
      </w:r>
      <w:r w:rsidRPr="00A92DE0">
        <w:t xml:space="preserve"> </w:t>
      </w:r>
      <w:r>
        <w:t>crucial periods</w:t>
      </w:r>
      <w:r w:rsidRPr="00A92DE0">
        <w:t xml:space="preserve"> whe</w:t>
      </w:r>
      <w:r>
        <w:t xml:space="preserve">n risks of lasting disadvantage occur and proposes a range of </w:t>
      </w:r>
      <w:r w:rsidRPr="00A92DE0">
        <w:t xml:space="preserve">policy interventions </w:t>
      </w:r>
      <w:r>
        <w:t>to prevent, mitigate and cope with inequalities over the life course. The OECD is also developing new tools to help policy makers address old-age inequality risks (Box 1.2).</w:t>
      </w:r>
    </w:p>
    <w:p w:rsidR="00DF4C8D" w:rsidRDefault="00DF4C8D">
      <w:r>
        <w:rPr>
          <w:b/>
          <w:bCs/>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FFFF"/>
        <w:tblLayout w:type="fixed"/>
        <w:tblLook w:val="0000" w:firstRow="0" w:lastRow="0" w:firstColumn="0" w:lastColumn="0" w:noHBand="0" w:noVBand="0"/>
      </w:tblPr>
      <w:tblGrid>
        <w:gridCol w:w="9298"/>
      </w:tblGrid>
      <w:tr w:rsidR="00473421" w:rsidTr="00DF4C8D">
        <w:trPr>
          <w:jc w:val="center"/>
        </w:trPr>
        <w:tc>
          <w:tcPr>
            <w:tcW w:w="9298" w:type="dxa"/>
            <w:shd w:val="clear" w:color="auto" w:fill="F4FFFF"/>
          </w:tcPr>
          <w:p w:rsidR="00473421" w:rsidRDefault="00473421" w:rsidP="0075163D">
            <w:pPr>
              <w:pStyle w:val="BoxHeading"/>
            </w:pPr>
            <w:r>
              <w:t>Box 1.2. Policy foresight to support reforms addressing ageing unequally</w:t>
            </w:r>
          </w:p>
          <w:p w:rsidR="00473421" w:rsidRDefault="00473421" w:rsidP="003C68EE">
            <w:pPr>
              <w:pStyle w:val="BoxBodyText"/>
              <w:framePr w:wrap="around"/>
            </w:pPr>
            <w:r w:rsidRPr="008143EE">
              <w:t>The assessment of how current inequalities during the working age will pass into inequalities at older ages is enhanced by the availability of a dynamic microsimulation model that includes pension rules. Such a model projects the evolution of a representative cohort sample in terms of mortality, health, education and labour market status</w:t>
            </w:r>
            <w:r w:rsidR="00D54491">
              <w:t xml:space="preserve"> (see Chapter 4 for more details)</w:t>
            </w:r>
            <w:r w:rsidRPr="008143EE">
              <w:t xml:space="preserve">. </w:t>
            </w:r>
          </w:p>
          <w:p w:rsidR="00473421" w:rsidRDefault="00473421" w:rsidP="003C68EE">
            <w:pPr>
              <w:pStyle w:val="BoxBodyText"/>
              <w:framePr w:wrap="around"/>
            </w:pPr>
            <w:r w:rsidRPr="008143EE">
              <w:t xml:space="preserve">The OECD has partnered with the Schaeffer Center and the Centre for Economic and International Studies (CEIS), University of Rome Tor Vergata to develop a pilot Global Future Elderly Model (Global FEM). The starting point is </w:t>
            </w:r>
            <w:r>
              <w:t xml:space="preserve">the </w:t>
            </w:r>
            <w:r w:rsidRPr="008143EE">
              <w:t>US</w:t>
            </w:r>
            <w:r>
              <w:t> </w:t>
            </w:r>
            <w:r w:rsidRPr="008143EE">
              <w:t xml:space="preserve">Future Elderly Model or FEM. FEM is microsimulation model that is developed and maintained by the Schaeffer Center for Health Policy &amp; Economics at the University of Southern California. FEM is a well-established model that has been used for many policy purposes ranging from the economic consequences of delaying disability and disease, to the long-term health outcomes of medical innovation, to the fiscal consequences of worsening population health, to financial risks in Medicare spending from new medical technologies. </w:t>
            </w:r>
            <w:r>
              <w:t xml:space="preserve">Similar to </w:t>
            </w:r>
            <w:r w:rsidRPr="008143EE">
              <w:t>FEM</w:t>
            </w:r>
            <w:r>
              <w:t>, Global FEM</w:t>
            </w:r>
            <w:r w:rsidRPr="008143EE">
              <w:t xml:space="preserve"> tracks representative cohorts of Americans</w:t>
            </w:r>
            <w:r>
              <w:t>, Belgians and Italians</w:t>
            </w:r>
            <w:r w:rsidRPr="008143EE">
              <w:t xml:space="preserve"> over age</w:t>
            </w:r>
            <w:r>
              <w:t> </w:t>
            </w:r>
            <w:r w:rsidRPr="008143EE">
              <w:t xml:space="preserve">50 to project their health status and economic outcomes. </w:t>
            </w:r>
            <w:r>
              <w:t>Global</w:t>
            </w:r>
            <w:r w:rsidRPr="008143EE">
              <w:t xml:space="preserve"> FEM allows for complex interactions between multidimensional measures of health and economic outcomes. </w:t>
            </w:r>
            <w:r>
              <w:t xml:space="preserve">It </w:t>
            </w:r>
            <w:r w:rsidRPr="008143EE">
              <w:t>begins with cohorts aged</w:t>
            </w:r>
            <w:r>
              <w:t> </w:t>
            </w:r>
            <w:r w:rsidRPr="008143EE">
              <w:t>50 where each member of the cohort enters the simulation with a lifetime income</w:t>
            </w:r>
            <w:r>
              <w:t>, work history</w:t>
            </w:r>
            <w:r w:rsidRPr="008143EE">
              <w:t xml:space="preserve"> and an initial health status. </w:t>
            </w:r>
            <w:r>
              <w:t>Then, members of the cohort age, changing their health status, labour market situation, claiming pension and finally dying.</w:t>
            </w:r>
          </w:p>
          <w:p w:rsidR="00473421" w:rsidRDefault="00473421" w:rsidP="003C68EE">
            <w:pPr>
              <w:pStyle w:val="BoxBodyText"/>
              <w:framePr w:wrap="around"/>
            </w:pPr>
            <w:r w:rsidRPr="008143EE">
              <w:t xml:space="preserve">The pilot Global FEM model </w:t>
            </w:r>
            <w:r>
              <w:t xml:space="preserve">has been </w:t>
            </w:r>
            <w:r w:rsidRPr="008143EE">
              <w:t>developed for the United States, Italy</w:t>
            </w:r>
            <w:r>
              <w:t xml:space="preserve"> and</w:t>
            </w:r>
            <w:r w:rsidRPr="008143EE">
              <w:t xml:space="preserve"> Belgium; it could be extended in the future to a broader set of countries with health and retirement surveys. The </w:t>
            </w:r>
            <w:r>
              <w:t xml:space="preserve">pilot </w:t>
            </w:r>
            <w:r w:rsidRPr="008143EE">
              <w:t xml:space="preserve">Global FEM model </w:t>
            </w:r>
            <w:r>
              <w:t xml:space="preserve">has been </w:t>
            </w:r>
            <w:r w:rsidRPr="008143EE">
              <w:t xml:space="preserve">used to compare the projected future impact of three different policy approaches that are each targeted to improving the health and longevity or the economic circumstances of elderly people. These include a policy initiative to address the development and progression of chronic disease; a training programme to improve the employability of older workers who have recently lost their jobs; and a pension reform to </w:t>
            </w:r>
            <w:r>
              <w:t xml:space="preserve">rise the official retirement </w:t>
            </w:r>
            <w:r w:rsidRPr="008143EE">
              <w:t xml:space="preserve">ages. </w:t>
            </w:r>
          </w:p>
          <w:p w:rsidR="00473421" w:rsidRDefault="00473421" w:rsidP="003C68EE">
            <w:pPr>
              <w:pStyle w:val="BoxBodyText"/>
              <w:framePr w:wrap="around"/>
            </w:pPr>
            <w:r w:rsidRPr="008143EE">
              <w:t>An example of usefulness of the FEM is presented in the report released by the US</w:t>
            </w:r>
            <w:r>
              <w:t> </w:t>
            </w:r>
            <w:r w:rsidRPr="008143EE">
              <w:t>National Academy of Science</w:t>
            </w:r>
            <w:r>
              <w:t>.</w:t>
            </w:r>
            <w:r w:rsidRPr="008143EE">
              <w:t xml:space="preserve">* The FEM-based analysis shows the impact of growing gap in life expectancy by education and income deciles on lifetime entitlements to benefits from </w:t>
            </w:r>
            <w:r>
              <w:t>s</w:t>
            </w:r>
            <w:r w:rsidRPr="008143EE">
              <w:t xml:space="preserve">ocial </w:t>
            </w:r>
            <w:r>
              <w:t>s</w:t>
            </w:r>
            <w:r w:rsidRPr="008143EE">
              <w:t xml:space="preserve">ecurity, </w:t>
            </w:r>
            <w:r>
              <w:t>d</w:t>
            </w:r>
            <w:r w:rsidRPr="008143EE">
              <w:t xml:space="preserve">isability </w:t>
            </w:r>
            <w:r>
              <w:t>i</w:t>
            </w:r>
            <w:r w:rsidRPr="008143EE">
              <w:t>nsurance, Medicare and Medicaid benefits in the United States. The gap in estimated life expectancy between high</w:t>
            </w:r>
            <w:r>
              <w:t>-</w:t>
            </w:r>
            <w:r w:rsidRPr="008143EE">
              <w:t>earning and low</w:t>
            </w:r>
            <w:r>
              <w:t>-</w:t>
            </w:r>
            <w:r w:rsidRPr="008143EE">
              <w:t xml:space="preserve">earning women has grown from four years to more than </w:t>
            </w:r>
            <w:r w:rsidR="00A9006E">
              <w:t>13 </w:t>
            </w:r>
            <w:r w:rsidRPr="008143EE">
              <w:t>years for cohorts born between 1930 and 1960. For men this gap has grown from five to more than twelve years. The increases in the gap in life expectancy by socio</w:t>
            </w:r>
            <w:r>
              <w:t>-</w:t>
            </w:r>
            <w:r w:rsidRPr="008143EE">
              <w:t>economic groups are due to gains for the high income quintiles, whereas the low income groups have not enjoyed the same improvements.</w:t>
            </w:r>
          </w:p>
          <w:p w:rsidR="00473421" w:rsidRDefault="00473421" w:rsidP="003C68EE">
            <w:pPr>
              <w:pStyle w:val="BoxBodyText"/>
              <w:framePr w:wrap="around"/>
            </w:pPr>
            <w:r w:rsidRPr="008143EE">
              <w:t xml:space="preserve">FEM enabled also the assessment of the impact of inequality in life-expectancy </w:t>
            </w:r>
            <w:r>
              <w:t xml:space="preserve">trends </w:t>
            </w:r>
            <w:r w:rsidRPr="008143EE">
              <w:t xml:space="preserve">on social benefits. The gap in the present value of social-security lifetime entitlements between the top quintile of earners and the bottom quintile is projected to widen between women born in the 1930s and in the 1960s, with the increase representing roughly one-third of lifetime benefits of the lowest quintile. </w:t>
            </w:r>
          </w:p>
          <w:p w:rsidR="00473421" w:rsidRPr="00DF4C8D" w:rsidRDefault="00473421" w:rsidP="0075163D">
            <w:pPr>
              <w:pStyle w:val="Textonotapie"/>
              <w:tabs>
                <w:tab w:val="clear" w:pos="850"/>
                <w:tab w:val="left" w:pos="1418"/>
              </w:tabs>
              <w:ind w:left="0" w:firstLine="0"/>
            </w:pPr>
            <w:r w:rsidRPr="00DF4C8D">
              <w:rPr>
                <w:sz w:val="18"/>
                <w:szCs w:val="18"/>
              </w:rPr>
              <w:t>*: National Academies of Sciences, Engineering and Medicine (2015), “The Growing Gap in Life Expectancy by Income: Implications for Federal Programs and Policy Responses”, National Academies Press, Washington, DC.</w:t>
            </w:r>
          </w:p>
        </w:tc>
      </w:tr>
    </w:tbl>
    <w:p w:rsidR="00473421" w:rsidRDefault="00473421" w:rsidP="0075163D">
      <w:pPr>
        <w:pStyle w:val="Ttulo3"/>
      </w:pPr>
      <w:r w:rsidRPr="008728E3">
        <w:t>Preventing inequality before it becomes entrenched</w:t>
      </w:r>
    </w:p>
    <w:p w:rsidR="00473421" w:rsidRPr="002D28FA" w:rsidRDefault="00473421" w:rsidP="00DF4C8D">
      <w:pPr>
        <w:pStyle w:val="Ttulo4"/>
        <w:spacing w:before="120"/>
      </w:pPr>
      <w:r w:rsidRPr="002D28FA">
        <w:t>Early-life interventions should be at the top of the policy agenda</w:t>
      </w:r>
    </w:p>
    <w:p w:rsidR="00473421" w:rsidRDefault="00473421" w:rsidP="0075163D">
      <w:pPr>
        <w:pStyle w:val="Textodecuerpo"/>
      </w:pPr>
      <w:r w:rsidRPr="00CC3BC7">
        <w:t xml:space="preserve">Childhood circumstances </w:t>
      </w:r>
      <w:r>
        <w:t xml:space="preserve">affect education and </w:t>
      </w:r>
      <w:r w:rsidRPr="00CC3BC7">
        <w:t xml:space="preserve">later life health, </w:t>
      </w:r>
      <w:r>
        <w:t>as well as future labour market experiences and career progression</w:t>
      </w:r>
      <w:r w:rsidRPr="00CC3BC7">
        <w:t xml:space="preserve">. </w:t>
      </w:r>
      <w:r>
        <w:t>For example, effects from adverse health events early in life on health at older ages can be indirect, e.g. channelled through lower educational achievement and restricted life opportunities, and/or remain latent for a long period. As shown above, education heavily influences labour market outcomes, and f</w:t>
      </w:r>
      <w:r w:rsidRPr="00BC0584">
        <w:t xml:space="preserve">ighting against academic failure </w:t>
      </w:r>
      <w:r>
        <w:t>requires a</w:t>
      </w:r>
      <w:r w:rsidRPr="00BC0584">
        <w:t xml:space="preserve"> concentrati</w:t>
      </w:r>
      <w:r>
        <w:t>o</w:t>
      </w:r>
      <w:r w:rsidRPr="00BC0584">
        <w:t>n</w:t>
      </w:r>
      <w:r>
        <w:t xml:space="preserve"> of</w:t>
      </w:r>
      <w:r w:rsidRPr="00BC0584">
        <w:t xml:space="preserve"> resources at an</w:t>
      </w:r>
      <w:r>
        <w:t xml:space="preserve"> </w:t>
      </w:r>
      <w:r w:rsidRPr="00BC0584">
        <w:t>early age, especially for disadvantaged children. In contrast, corrective</w:t>
      </w:r>
      <w:r>
        <w:t xml:space="preserve"> </w:t>
      </w:r>
      <w:r w:rsidRPr="00BC0584">
        <w:t>measures at later stages</w:t>
      </w:r>
      <w:r>
        <w:t xml:space="preserve"> have to overcome what may be more deeply entrenched problems </w:t>
      </w:r>
      <w:r w:rsidRPr="00BC0584">
        <w:t>(Heckman and Carneiro, 2003)</w:t>
      </w:r>
      <w:r>
        <w:t xml:space="preserve"> and can produce benefits only over a shorter remaining period of life. Likewise, pension arrangements can correct some but not all of the inequality among the retirees that results from employment and earnings inequalities. </w:t>
      </w:r>
      <w:r w:rsidRPr="00EE37FE">
        <w:t>Thus, substantial savings of public expenditure could be made if income, wealth</w:t>
      </w:r>
      <w:r>
        <w:t>, education</w:t>
      </w:r>
      <w:r w:rsidRPr="00EE37FE">
        <w:t xml:space="preserve"> and health inequalities were picked up earlier and addressed at younger ages. </w:t>
      </w:r>
      <w:r>
        <w:t>This section sets out a range of good practice policies which can help fight disadvantage in early childhood and school age; the list is not exhaustive, but focuses on key measures aimed at solving problems that are known to have a long-term impact.</w:t>
      </w:r>
    </w:p>
    <w:p w:rsidR="00473421" w:rsidRDefault="00473421" w:rsidP="0075163D">
      <w:pPr>
        <w:pStyle w:val="Textodecuerpo"/>
      </w:pPr>
      <w:r>
        <w:t xml:space="preserve">Policies to support children’s educational, health and material well-being must start in early childhood and be sustained throughout childhood (OECD, 2009 and 2011a). The pay-offs from investing early in children are enormous: US research suggests that each dollar invested in </w:t>
      </w:r>
      <w:r w:rsidRPr="008865AD">
        <w:t xml:space="preserve">high quality programs before the age of </w:t>
      </w:r>
      <w:r>
        <w:t>five</w:t>
      </w:r>
      <w:r w:rsidRPr="008865AD">
        <w:t xml:space="preserve"> years yields a</w:t>
      </w:r>
      <w:r>
        <w:t xml:space="preserve"> cumulative</w:t>
      </w:r>
      <w:r w:rsidRPr="008865AD">
        <w:t xml:space="preserve"> annual return of 13% at age 65</w:t>
      </w:r>
      <w:r w:rsidRPr="008865AD">
        <w:rPr>
          <w:rStyle w:val="Refdecomentario"/>
          <w:sz w:val="20"/>
          <w:szCs w:val="20"/>
        </w:rPr>
        <w:t> </w:t>
      </w:r>
      <w:r w:rsidRPr="008865AD">
        <w:t>(Garcia et al., 2016</w:t>
      </w:r>
      <w:r>
        <w:t>), and that these benefits are especially large for children from a disadvantaged background. OECD Programme for International Student Assessment (PISA) data show that 15-year old students who attended pre-primary education for at least one year are likely to have higher maths scores than those who did not, the gap being equivalent to almost one year of formal schooling after accounting for students’ socio-economic status (OECD, 2013a).</w:t>
      </w:r>
    </w:p>
    <w:p w:rsidR="00473421" w:rsidRDefault="00473421" w:rsidP="0075163D">
      <w:pPr>
        <w:pStyle w:val="Textodecuerpo"/>
      </w:pPr>
      <w:r>
        <w:t xml:space="preserve">Preventing child income poverty and material deprivation is a priority. Beyond their obvious negative impact on children’s material well-being, they generate malnutrition and bad health, which in turn affect later life outcomes. Health </w:t>
      </w:r>
      <w:r w:rsidRPr="00CC3BC7">
        <w:t xml:space="preserve">effects can be large </w:t>
      </w:r>
      <w:r>
        <w:t>but</w:t>
      </w:r>
      <w:r w:rsidRPr="00CC3BC7">
        <w:t xml:space="preserve"> </w:t>
      </w:r>
      <w:r>
        <w:t xml:space="preserve">may </w:t>
      </w:r>
      <w:r w:rsidRPr="00CC3BC7">
        <w:t>remain latent for a long period</w:t>
      </w:r>
      <w:r>
        <w:t xml:space="preserve">, and </w:t>
      </w:r>
      <w:r w:rsidRPr="00356D15">
        <w:t xml:space="preserve">deprivation during childhood </w:t>
      </w:r>
      <w:r>
        <w:t>has</w:t>
      </w:r>
      <w:r w:rsidRPr="00356D15">
        <w:t xml:space="preserve"> long-term consequen</w:t>
      </w:r>
      <w:r>
        <w:t>ces for health during adulthood</w:t>
      </w:r>
      <w:r w:rsidRPr="00356D15">
        <w:t>.</w:t>
      </w:r>
      <w:r>
        <w:t xml:space="preserve"> </w:t>
      </w:r>
      <w:r>
        <w:rPr>
          <w:lang w:val="en"/>
        </w:rPr>
        <w:t>C</w:t>
      </w:r>
      <w:r w:rsidRPr="00F52708">
        <w:rPr>
          <w:lang w:val="en"/>
        </w:rPr>
        <w:t xml:space="preserve">onstraints on poor people </w:t>
      </w:r>
      <w:r>
        <w:rPr>
          <w:lang w:val="en"/>
        </w:rPr>
        <w:t xml:space="preserve">and their children </w:t>
      </w:r>
      <w:r w:rsidRPr="00F52708">
        <w:rPr>
          <w:lang w:val="en"/>
        </w:rPr>
        <w:t>should be alleviated through safety nets</w:t>
      </w:r>
      <w:r>
        <w:rPr>
          <w:lang w:val="en"/>
        </w:rPr>
        <w:t xml:space="preserve">, in particular by using </w:t>
      </w:r>
      <w:r>
        <w:t>child benefits targeted at low-income households.</w:t>
      </w:r>
    </w:p>
    <w:p w:rsidR="00473421" w:rsidRDefault="00473421" w:rsidP="0075163D">
      <w:pPr>
        <w:pStyle w:val="Textodecuerpo"/>
      </w:pPr>
      <w:r>
        <w:t>Quality childcare services and early childhood education are crucial for all children, but particularly important for children from disadvantaged socio</w:t>
      </w:r>
      <w:r w:rsidR="00B54C38">
        <w:t>-</w:t>
      </w:r>
      <w:r>
        <w:t>economic backgrounds (OECD, 2013b). In school age, a range of policies can help reduce school failure and prevent social circumstances from standing in the way of achieving educational potential (OECD</w:t>
      </w:r>
      <w:r w:rsidRPr="00954B0C">
        <w:t>, 2012</w:t>
      </w:r>
      <w:r>
        <w:t>a</w:t>
      </w:r>
      <w:r w:rsidRPr="00954B0C">
        <w:t xml:space="preserve">): eliminate grade </w:t>
      </w:r>
      <w:r w:rsidRPr="00AB5048">
        <w:t>repetition</w:t>
      </w:r>
      <w:r>
        <w:t xml:space="preserve"> (by </w:t>
      </w:r>
      <w:r>
        <w:rPr>
          <w:rFonts w:ascii="TimesNewRoman" w:hAnsi="TimesNewRoman" w:cs="TimesNewRoman"/>
          <w:color w:val="000000"/>
        </w:rPr>
        <w:t>addressing learning gaps during the school year and through automatic promotion but with targeted support)</w:t>
      </w:r>
      <w:r w:rsidRPr="00AB5048">
        <w:t>; avoid early tracking and defer student selection to upper secondary; manage school choice to avoid segregation; make funding strategies responsive to students’ and schools’ needs; and design equivalent upper-secondary education pathways to ensure completion.</w:t>
      </w:r>
    </w:p>
    <w:p w:rsidR="00473421" w:rsidRDefault="00473421" w:rsidP="0075163D">
      <w:pPr>
        <w:pStyle w:val="Textodecuerpo"/>
      </w:pPr>
      <w:r>
        <w:t>Disadvantage is also related to children’s learning environment. P</w:t>
      </w:r>
      <w:r w:rsidRPr="00AB5048">
        <w:t xml:space="preserve">olicy priorities </w:t>
      </w:r>
      <w:r>
        <w:t xml:space="preserve">to </w:t>
      </w:r>
      <w:r w:rsidRPr="00AB5048">
        <w:t>improve low performing disadvantaged schools</w:t>
      </w:r>
      <w:r>
        <w:t xml:space="preserve"> include (OECD, </w:t>
      </w:r>
      <w:r w:rsidRPr="00AB5048">
        <w:t>2012</w:t>
      </w:r>
      <w:r>
        <w:t>a):</w:t>
      </w:r>
      <w:r w:rsidRPr="00AB5048">
        <w:t xml:space="preserve"> strengthen and support school leadership; stimulate a supportive school climate and environment for learning; attract, support and retain high quality teachers; ensure effective classroom learning strategies; and prioritise linking schools with parents and communities. </w:t>
      </w:r>
      <w:r w:rsidRPr="007960D0">
        <w:t xml:space="preserve">In emerging economies, </w:t>
      </w:r>
      <w:r>
        <w:t>c</w:t>
      </w:r>
      <w:r w:rsidRPr="00AB5048">
        <w:t>onditional cash transfers</w:t>
      </w:r>
      <w:r>
        <w:t xml:space="preserve"> have also been successful in</w:t>
      </w:r>
      <w:r w:rsidRPr="00AB5048">
        <w:t xml:space="preserve"> promoting </w:t>
      </w:r>
      <w:r>
        <w:t xml:space="preserve">school </w:t>
      </w:r>
      <w:r w:rsidRPr="00AB5048">
        <w:t>attendance of children from disadvantaged groups</w:t>
      </w:r>
      <w:r>
        <w:t xml:space="preserve"> (OECD, 2015a).</w:t>
      </w:r>
    </w:p>
    <w:p w:rsidR="00473421" w:rsidRDefault="00473421" w:rsidP="0075163D">
      <w:pPr>
        <w:pStyle w:val="Textodecuerpo"/>
      </w:pPr>
      <w:r>
        <w:t>F</w:t>
      </w:r>
      <w:r w:rsidRPr="0092719B">
        <w:t xml:space="preserve">ighting early school leaving is </w:t>
      </w:r>
      <w:r>
        <w:t>key</w:t>
      </w:r>
      <w:r w:rsidRPr="0092719B">
        <w:t xml:space="preserve"> </w:t>
      </w:r>
      <w:r>
        <w:t>to limit long-term difficulties in the labour market. Policy measures to address this challenge include: s</w:t>
      </w:r>
      <w:r w:rsidRPr="0092719B">
        <w:t>ystematic monitoring of school attendance</w:t>
      </w:r>
      <w:r>
        <w:t xml:space="preserve">; </w:t>
      </w:r>
      <w:r w:rsidRPr="0092719B">
        <w:t xml:space="preserve">comprehensive support </w:t>
      </w:r>
      <w:r>
        <w:t>for a</w:t>
      </w:r>
      <w:r w:rsidRPr="0092719B">
        <w:t>t-risk students and their families</w:t>
      </w:r>
      <w:r>
        <w:t>; a</w:t>
      </w:r>
      <w:r w:rsidRPr="0092719B">
        <w:t>fter-school programmes</w:t>
      </w:r>
      <w:r>
        <w:t>; and f</w:t>
      </w:r>
      <w:r w:rsidRPr="0092719B">
        <w:t>lexible schooling environments</w:t>
      </w:r>
      <w:r>
        <w:t xml:space="preserve"> (OECD, 2016b). For n</w:t>
      </w:r>
      <w:r w:rsidRPr="00FF5263">
        <w:t>ot academically-minded –</w:t>
      </w:r>
      <w:r>
        <w:t> </w:t>
      </w:r>
      <w:r w:rsidRPr="00FF5263">
        <w:t>or school-tired</w:t>
      </w:r>
      <w:r>
        <w:t> </w:t>
      </w:r>
      <w:r w:rsidRPr="00FF5263">
        <w:t>– youth practical training pathways</w:t>
      </w:r>
      <w:r>
        <w:t xml:space="preserve"> may be more suitable, because b</w:t>
      </w:r>
      <w:r w:rsidRPr="00F257C0">
        <w:t>ack</w:t>
      </w:r>
      <w:r>
        <w:t>-</w:t>
      </w:r>
      <w:r w:rsidRPr="00F257C0">
        <w:t xml:space="preserve">to-the-classroom strategies </w:t>
      </w:r>
      <w:r>
        <w:t xml:space="preserve">often </w:t>
      </w:r>
      <w:r w:rsidRPr="00F257C0">
        <w:t xml:space="preserve">prove </w:t>
      </w:r>
      <w:r>
        <w:t>ineffective for this group</w:t>
      </w:r>
      <w:r w:rsidRPr="00FF5263">
        <w:t>.</w:t>
      </w:r>
    </w:p>
    <w:p w:rsidR="00473421" w:rsidRDefault="00473421" w:rsidP="0075163D">
      <w:pPr>
        <w:pStyle w:val="Textodecuerpo"/>
      </w:pPr>
      <w:r w:rsidRPr="003C17E0">
        <w:t>Mental health and substance abuse are often root causes of school dropout. A significant proportion of young people in OECD countries report feeling stressed on a regular basis (OECD, 2013</w:t>
      </w:r>
      <w:r>
        <w:t>b</w:t>
      </w:r>
      <w:r w:rsidRPr="003C17E0">
        <w:t xml:space="preserve">), and conditions like eating disorders, anxieties or depression </w:t>
      </w:r>
      <w:r>
        <w:t>are on the rise</w:t>
      </w:r>
      <w:r w:rsidRPr="003C17E0">
        <w:t>, especially among young women (OECD, 2012</w:t>
      </w:r>
      <w:r>
        <w:t>b</w:t>
      </w:r>
      <w:r w:rsidRPr="003C17E0">
        <w:t xml:space="preserve">). </w:t>
      </w:r>
      <w:r>
        <w:t xml:space="preserve">These youth need expert help and OECD countries show some promising models of support: </w:t>
      </w:r>
      <w:r w:rsidRPr="003C17E0">
        <w:t>Headspace centres in Australia</w:t>
      </w:r>
      <w:r>
        <w:t>, for example,</w:t>
      </w:r>
      <w:r w:rsidRPr="003C17E0">
        <w:t xml:space="preserve"> </w:t>
      </w:r>
      <w:r w:rsidRPr="00FC7393">
        <w:t xml:space="preserve">provide </w:t>
      </w:r>
      <w:r w:rsidRPr="00543323">
        <w:t>12-to-</w:t>
      </w:r>
      <w:r>
        <w:t>1</w:t>
      </w:r>
      <w:r w:rsidRPr="00543323">
        <w:t>5</w:t>
      </w:r>
      <w:r>
        <w:t> </w:t>
      </w:r>
      <w:r w:rsidRPr="00543323">
        <w:t>years</w:t>
      </w:r>
      <w:r>
        <w:t> </w:t>
      </w:r>
      <w:r w:rsidRPr="00543323">
        <w:t xml:space="preserve">old youth with </w:t>
      </w:r>
      <w:r w:rsidRPr="003C17E0">
        <w:t>access to GPs, psychologists, social workers and career counsellors at no or low cost</w:t>
      </w:r>
      <w:r>
        <w:t>, often on a drop-in basis</w:t>
      </w:r>
      <w:r w:rsidRPr="003C17E0">
        <w:t xml:space="preserve">. They offer advice and treatment for mental health and substance abuse issues, for problems at school or work as well as sex education. </w:t>
      </w:r>
      <w:r>
        <w:t>In Sweden, Youth Clinics provide free drop-in health care services for youth under 20, including access to psychologists for advice regarding mental health.</w:t>
      </w:r>
    </w:p>
    <w:p w:rsidR="00473421" w:rsidRPr="00B87ED7" w:rsidRDefault="00473421" w:rsidP="0075163D">
      <w:pPr>
        <w:pStyle w:val="Textodecuerpo"/>
      </w:pPr>
      <w:r>
        <w:t>Significant gender disparities and biases remain in educational and occupational choices in OECD countries, feeding into gender gaps in employment, in particular in science, technology, engineering and mathematics (OECD, 2017b). Outside the OECD, educational opportunities for girls and young women frequently remain constrained by attitudes, social institutions, and the absence of infrastructure supporting girls. OECD (2017b) emphasises the urgency to change gender stereotypical patterns in education which will otherwise continue to affect life choices of future generations for years to come.</w:t>
      </w:r>
    </w:p>
    <w:p w:rsidR="00473421" w:rsidRPr="002D28FA" w:rsidRDefault="00473421" w:rsidP="0075163D">
      <w:pPr>
        <w:pStyle w:val="Ttulo4"/>
      </w:pPr>
      <w:r w:rsidRPr="002D28FA">
        <w:t>Ensuring a smooth school-to-work transition</w:t>
      </w:r>
    </w:p>
    <w:p w:rsidR="00473421" w:rsidRPr="003C17E0" w:rsidRDefault="00473421" w:rsidP="0075163D">
      <w:pPr>
        <w:pStyle w:val="Textodecuerpo"/>
      </w:pPr>
      <w:r w:rsidRPr="00F969D6">
        <w:t xml:space="preserve">Moving from education to the labour market is a </w:t>
      </w:r>
      <w:r>
        <w:t>decisive</w:t>
      </w:r>
      <w:r w:rsidRPr="00F969D6">
        <w:t xml:space="preserve"> turning point in people’s li</w:t>
      </w:r>
      <w:r>
        <w:t>ves.</w:t>
      </w:r>
      <w:r w:rsidRPr="00F969D6">
        <w:t xml:space="preserve"> Without sufficient orientation youth, </w:t>
      </w:r>
      <w:r>
        <w:t>especially</w:t>
      </w:r>
      <w:r w:rsidRPr="00F969D6">
        <w:t xml:space="preserve"> students who cannot draw on their parents and s</w:t>
      </w:r>
      <w:r>
        <w:t>ocial support networks for advice, can get lost in the system. Measures to help students in choosing their field of study and later with their</w:t>
      </w:r>
      <w:r w:rsidRPr="00B12CC6">
        <w:t xml:space="preserve"> school-to-work transition </w:t>
      </w:r>
      <w:r>
        <w:t>are</w:t>
      </w:r>
      <w:r w:rsidRPr="00B12CC6">
        <w:t xml:space="preserve"> therefore key</w:t>
      </w:r>
      <w:r>
        <w:t xml:space="preserve"> to increase the likelihood of </w:t>
      </w:r>
      <w:r w:rsidRPr="003C17E0">
        <w:t>stable employment and earnings</w:t>
      </w:r>
      <w:r>
        <w:t xml:space="preserve"> progression</w:t>
      </w:r>
      <w:r w:rsidRPr="00E571F4">
        <w:t xml:space="preserve"> (e.g. OECD</w:t>
      </w:r>
      <w:r>
        <w:t>,</w:t>
      </w:r>
      <w:r w:rsidRPr="00E571F4">
        <w:t xml:space="preserve"> 2010</w:t>
      </w:r>
      <w:r>
        <w:t>a</w:t>
      </w:r>
      <w:r w:rsidRPr="00E571F4">
        <w:t>; 2016</w:t>
      </w:r>
      <w:r>
        <w:t>b</w:t>
      </w:r>
      <w:r w:rsidRPr="00E571F4">
        <w:t xml:space="preserve">). </w:t>
      </w:r>
      <w:r w:rsidRPr="003C17E0">
        <w:t xml:space="preserve">In Denmark, </w:t>
      </w:r>
      <w:r>
        <w:t xml:space="preserve">for example, </w:t>
      </w:r>
      <w:r w:rsidRPr="003C17E0">
        <w:t>the Ministry of Education operates regional guidance centres that work with social partners and municipalities to offer workshops, seminars, career fairs and one-to-one counselling</w:t>
      </w:r>
      <w:r>
        <w:t xml:space="preserve"> and ensures that </w:t>
      </w:r>
      <w:r w:rsidRPr="003C17E0">
        <w:t xml:space="preserve">guidance </w:t>
      </w:r>
      <w:r>
        <w:t xml:space="preserve">is </w:t>
      </w:r>
      <w:r w:rsidRPr="003C17E0">
        <w:t>relevant to stakeholders in the education system and the labour market (Field et al., 2012)</w:t>
      </w:r>
      <w:r>
        <w:t xml:space="preserve">; all </w:t>
      </w:r>
      <w:r w:rsidRPr="003C17E0">
        <w:t>student</w:t>
      </w:r>
      <w:r>
        <w:t>s have access to these guidance services,</w:t>
      </w:r>
      <w:r w:rsidRPr="003C17E0">
        <w:t xml:space="preserve"> participation </w:t>
      </w:r>
      <w:r>
        <w:t>i</w:t>
      </w:r>
      <w:r w:rsidRPr="003C17E0">
        <w:t>s high</w:t>
      </w:r>
      <w:r>
        <w:t xml:space="preserve"> overall, and municipalities are legally required to </w:t>
      </w:r>
      <w:r w:rsidRPr="00DB5AE4">
        <w:t>refer students at risk of dropping out to these services</w:t>
      </w:r>
      <w:r w:rsidRPr="003C17E0">
        <w:t>.</w:t>
      </w:r>
    </w:p>
    <w:p w:rsidR="00473421" w:rsidRDefault="00473421" w:rsidP="0075163D">
      <w:pPr>
        <w:pStyle w:val="Textodecuerpo"/>
      </w:pPr>
      <w:r w:rsidRPr="00E571F4">
        <w:t>Young people often start their working lives in non-standard work arrangements</w:t>
      </w:r>
      <w:r>
        <w:t>. The education system should equip young people with the skills the labour market needs. More broadly, p</w:t>
      </w:r>
      <w:r w:rsidRPr="00E571F4">
        <w:t>olicies should aim to ensure that short-term entry jobs serve as stepping stones to more stable jobs</w:t>
      </w:r>
      <w:r>
        <w:t>.</w:t>
      </w:r>
      <w:r w:rsidRPr="00E571F4" w:rsidDel="00225034">
        <w:t xml:space="preserve"> </w:t>
      </w:r>
      <w:r w:rsidRPr="00FF5263">
        <w:t>Apprenticeship</w:t>
      </w:r>
      <w:r>
        <w:t>s</w:t>
      </w:r>
      <w:r w:rsidRPr="00FF5263">
        <w:t xml:space="preserve"> combin</w:t>
      </w:r>
      <w:r>
        <w:t>ing</w:t>
      </w:r>
      <w:r w:rsidRPr="00FF5263">
        <w:t xml:space="preserve"> on-the-job training and classroom learning </w:t>
      </w:r>
      <w:r>
        <w:t>can help (OECD, 2010a)</w:t>
      </w:r>
      <w:r w:rsidRPr="00FF5263">
        <w:t xml:space="preserve">: the involvement of social partners </w:t>
      </w:r>
      <w:r>
        <w:t>contribute</w:t>
      </w:r>
      <w:r w:rsidRPr="00FF5263">
        <w:t xml:space="preserve">s </w:t>
      </w:r>
      <w:r>
        <w:t xml:space="preserve">to </w:t>
      </w:r>
      <w:r w:rsidRPr="00FF5263">
        <w:t>ensur</w:t>
      </w:r>
      <w:r>
        <w:t>ing</w:t>
      </w:r>
      <w:r w:rsidRPr="00FF5263">
        <w:t xml:space="preserve"> that training meets employers</w:t>
      </w:r>
      <w:r>
        <w:t>’</w:t>
      </w:r>
      <w:r w:rsidRPr="00FF5263">
        <w:t xml:space="preserve"> needs, while apprentices gain initial work experience and form relationships with employers. </w:t>
      </w:r>
      <w:r>
        <w:t>A</w:t>
      </w:r>
      <w:r w:rsidRPr="00F257C0">
        <w:t xml:space="preserve">pprenticeship and other </w:t>
      </w:r>
      <w:r>
        <w:t xml:space="preserve">high-quality </w:t>
      </w:r>
      <w:r w:rsidRPr="00F257C0">
        <w:t>vocational education and training programmes</w:t>
      </w:r>
      <w:r>
        <w:t xml:space="preserve"> are proven to </w:t>
      </w:r>
      <w:r w:rsidRPr="0092719B">
        <w:t>facilitate successful school-to-work transitions</w:t>
      </w:r>
      <w:r>
        <w:t xml:space="preserve"> in countries such as </w:t>
      </w:r>
      <w:r w:rsidRPr="00F257C0">
        <w:t xml:space="preserve">Austria, Germany and Switzerland </w:t>
      </w:r>
      <w:r>
        <w:t>(OECD, 2010a)</w:t>
      </w:r>
      <w:r w:rsidRPr="00F257C0">
        <w:t>.</w:t>
      </w:r>
    </w:p>
    <w:p w:rsidR="00473421" w:rsidRDefault="00473421" w:rsidP="0075163D">
      <w:pPr>
        <w:pStyle w:val="Textodecuerpo"/>
      </w:pPr>
      <w:r>
        <w:t>Early intervention to youth unemployed and t</w:t>
      </w:r>
      <w:r w:rsidRPr="00C42854">
        <w:t>hose not in employment, education or training</w:t>
      </w:r>
      <w:r>
        <w:t xml:space="preserve"> (NEET) more broadly is crucial. </w:t>
      </w:r>
      <w:r w:rsidRPr="00C42854">
        <w:t xml:space="preserve">Non-employed young people are often not in contact with </w:t>
      </w:r>
      <w:r>
        <w:t>p</w:t>
      </w:r>
      <w:r w:rsidRPr="00C42854">
        <w:t xml:space="preserve">ublic </w:t>
      </w:r>
      <w:r>
        <w:t>e</w:t>
      </w:r>
      <w:r w:rsidRPr="00C42854">
        <w:t xml:space="preserve">mployment </w:t>
      </w:r>
      <w:r>
        <w:t>servic</w:t>
      </w:r>
      <w:r w:rsidRPr="00C42854">
        <w:t>es</w:t>
      </w:r>
      <w:r>
        <w:t> </w:t>
      </w:r>
      <w:r w:rsidRPr="00C42854">
        <w:t>(PES) because without a sufficient contribution period they are not entitled to out-of-work benefits. As a result, they are often excluded from training or job-search support programmes, which puts them at risk of becoming long-term inactive. For instance, Europe</w:t>
      </w:r>
      <w:r>
        <w:t xml:space="preserve">an member states have committed themselves under </w:t>
      </w:r>
      <w:r w:rsidRPr="00C42854">
        <w:t xml:space="preserve">the Youth Guarantee </w:t>
      </w:r>
      <w:r>
        <w:t xml:space="preserve">scheme to </w:t>
      </w:r>
      <w:r w:rsidRPr="00C42854">
        <w:t>ensur</w:t>
      </w:r>
      <w:r>
        <w:t>e</w:t>
      </w:r>
      <w:r w:rsidRPr="00C42854">
        <w:t xml:space="preserve"> that all young people under the age of 25</w:t>
      </w:r>
      <w:r>
        <w:t> </w:t>
      </w:r>
      <w:r w:rsidRPr="00C42854">
        <w:t xml:space="preserve">years receive an offer of employment, some further education, an apprenticeship or a traineeship within a period of four months of becoming unemployed or leaving formal education. One limitation is that the guarantee is often implemented by </w:t>
      </w:r>
      <w:r>
        <w:t>p</w:t>
      </w:r>
      <w:r w:rsidRPr="00C42854">
        <w:t xml:space="preserve">ublic </w:t>
      </w:r>
      <w:r>
        <w:t>e</w:t>
      </w:r>
      <w:r w:rsidRPr="00C42854">
        <w:t xml:space="preserve">mployment </w:t>
      </w:r>
      <w:r>
        <w:t>s</w:t>
      </w:r>
      <w:r w:rsidRPr="00C42854">
        <w:t>ervices where many of the most disengaged youth would not spontaneously go for help. F</w:t>
      </w:r>
      <w:r>
        <w:t xml:space="preserve">aced with a similar difficulty, Norway created </w:t>
      </w:r>
      <w:r w:rsidRPr="00C42854">
        <w:t>Follow-up Services to work in tight co</w:t>
      </w:r>
      <w:r w:rsidR="008E6454">
        <w:t>-</w:t>
      </w:r>
      <w:r w:rsidRPr="00C42854">
        <w:t>operation with schools for contacting all under-21</w:t>
      </w:r>
      <w:r>
        <w:t xml:space="preserve"> </w:t>
      </w:r>
      <w:r w:rsidRPr="00C42854">
        <w:t xml:space="preserve">year-olds who leave (with or without a qualification) and assess their activity status. </w:t>
      </w:r>
      <w:r>
        <w:t xml:space="preserve">The </w:t>
      </w:r>
      <w:r w:rsidRPr="00C42854">
        <w:t xml:space="preserve">NEET are either offered counselling or training, or they are put in touch with social support services or the local employment office. Another example of good collaboration is the Japanese PES </w:t>
      </w:r>
      <w:r>
        <w:t>(</w:t>
      </w:r>
      <w:r w:rsidRPr="00C42854">
        <w:t>“Hello Work”</w:t>
      </w:r>
      <w:r>
        <w:t xml:space="preserve">) </w:t>
      </w:r>
      <w:r w:rsidRPr="00C42854">
        <w:t>initiative that reaches out to students at high schools and universities to offer counselling, job-search assistance and job placement.</w:t>
      </w:r>
    </w:p>
    <w:p w:rsidR="00473421" w:rsidRDefault="00473421" w:rsidP="0075163D">
      <w:pPr>
        <w:pStyle w:val="Textodecuerpo"/>
      </w:pPr>
      <w:r>
        <w:t>NEET rates are often particularly high among y</w:t>
      </w:r>
      <w:r w:rsidRPr="00265131">
        <w:t>oung women because of care-giving responsibilities</w:t>
      </w:r>
      <w:r>
        <w:t xml:space="preserve"> for children</w:t>
      </w:r>
      <w:r w:rsidRPr="00265131">
        <w:t xml:space="preserve">. </w:t>
      </w:r>
      <w:r>
        <w:t>Being able to access</w:t>
      </w:r>
      <w:r w:rsidRPr="0092719B">
        <w:t xml:space="preserve"> </w:t>
      </w:r>
      <w:r w:rsidRPr="00DD10E0">
        <w:t xml:space="preserve">affordable childcare and child-friendly employment arrangements are </w:t>
      </w:r>
      <w:r>
        <w:t xml:space="preserve">therefore crucial </w:t>
      </w:r>
      <w:r w:rsidRPr="00DD10E0">
        <w:t>for greater labour market participation among young mothers</w:t>
      </w:r>
      <w:r>
        <w:t xml:space="preserve"> (OECD, 2016b).</w:t>
      </w:r>
    </w:p>
    <w:p w:rsidR="00473421" w:rsidRDefault="00473421" w:rsidP="0075163D">
      <w:pPr>
        <w:pStyle w:val="Ttulo4"/>
      </w:pPr>
      <w:r>
        <w:t>Breaking the links between socio</w:t>
      </w:r>
      <w:r w:rsidR="00B54C38">
        <w:t>-</w:t>
      </w:r>
      <w:r>
        <w:t>economic disadvantage and health status</w:t>
      </w:r>
    </w:p>
    <w:p w:rsidR="00473421" w:rsidRPr="00582556" w:rsidRDefault="00473421" w:rsidP="0075163D">
      <w:pPr>
        <w:pStyle w:val="Textodecuerpo"/>
      </w:pPr>
      <w:r>
        <w:t>Health policies play a particularly important role in preventing ageing unequally. Gaps in h</w:t>
      </w:r>
      <w:r w:rsidRPr="00386052">
        <w:t xml:space="preserve">ealth </w:t>
      </w:r>
      <w:r>
        <w:t>and life expectancy between different socio</w:t>
      </w:r>
      <w:r w:rsidR="00B54C38">
        <w:t>-</w:t>
      </w:r>
      <w:r>
        <w:t xml:space="preserve">economic groups is perhaps the most shocking and, for many, the most unacceptable manifestation of disadvantage. As this report shows health problems influence employment experiences and therefore can exacerbate inequalities. </w:t>
      </w:r>
      <w:r w:rsidRPr="000239B3">
        <w:t xml:space="preserve">Improving </w:t>
      </w:r>
      <w:r>
        <w:t xml:space="preserve">the </w:t>
      </w:r>
      <w:r w:rsidRPr="000239B3">
        <w:t xml:space="preserve">health of the most disadvantaged </w:t>
      </w:r>
      <w:r>
        <w:t>over the</w:t>
      </w:r>
      <w:r w:rsidRPr="000239B3">
        <w:t xml:space="preserve"> life</w:t>
      </w:r>
      <w:r>
        <w:t xml:space="preserve"> course</w:t>
      </w:r>
      <w:r w:rsidRPr="000239B3">
        <w:t xml:space="preserve"> </w:t>
      </w:r>
      <w:r>
        <w:t xml:space="preserve">should thus be </w:t>
      </w:r>
      <w:r w:rsidRPr="000239B3">
        <w:t>a priority.</w:t>
      </w:r>
    </w:p>
    <w:p w:rsidR="00473421" w:rsidRDefault="00473421" w:rsidP="0075163D">
      <w:pPr>
        <w:pStyle w:val="Textodecuerpo"/>
      </w:pPr>
      <w:r>
        <w:t>Many factors affect h</w:t>
      </w:r>
      <w:r w:rsidRPr="00CC74DF">
        <w:t>ealth inequalities</w:t>
      </w:r>
      <w:r>
        <w:t>, including a broad range of social determinants of health (such as living and working conditions) and some related to access to good-quality health care</w:t>
      </w:r>
      <w:r w:rsidRPr="002757E6">
        <w:t>.</w:t>
      </w:r>
      <w:r>
        <w:t xml:space="preserve"> Early childhood development, education, employment conditions, income, </w:t>
      </w:r>
      <w:r w:rsidRPr="00D71D1B">
        <w:t>stress related to socio</w:t>
      </w:r>
      <w:r w:rsidR="00B54C38">
        <w:t>-</w:t>
      </w:r>
      <w:r w:rsidRPr="00D71D1B">
        <w:t>economic status</w:t>
      </w:r>
      <w:r>
        <w:t xml:space="preserve"> and l</w:t>
      </w:r>
      <w:r w:rsidRPr="00D71D1B">
        <w:t>ifestyle (</w:t>
      </w:r>
      <w:r>
        <w:t xml:space="preserve">e.g. </w:t>
      </w:r>
      <w:r w:rsidRPr="00D71D1B">
        <w:t>smoking, drug</w:t>
      </w:r>
      <w:r>
        <w:t xml:space="preserve"> use</w:t>
      </w:r>
      <w:r w:rsidRPr="00D71D1B">
        <w:t xml:space="preserve">, alcohol abuse, </w:t>
      </w:r>
      <w:r>
        <w:t>physical inactivity</w:t>
      </w:r>
      <w:r w:rsidRPr="00D71D1B">
        <w:t xml:space="preserve">, </w:t>
      </w:r>
      <w:r>
        <w:t xml:space="preserve">poor </w:t>
      </w:r>
      <w:r w:rsidRPr="00D71D1B">
        <w:t>diet, obesity), all contribute to di</w:t>
      </w:r>
      <w:r>
        <w:t xml:space="preserve">sparities </w:t>
      </w:r>
      <w:r w:rsidRPr="00D71D1B">
        <w:t>in health status</w:t>
      </w:r>
      <w:r w:rsidRPr="005261D3">
        <w:t xml:space="preserve">. </w:t>
      </w:r>
      <w:r>
        <w:t>In a</w:t>
      </w:r>
      <w:r w:rsidRPr="004D544F">
        <w:t xml:space="preserve">ddition, health literacy </w:t>
      </w:r>
      <w:r>
        <w:t>is often lower among poorer and less educated</w:t>
      </w:r>
      <w:r w:rsidRPr="004D544F">
        <w:t xml:space="preserve"> groups</w:t>
      </w:r>
      <w:r>
        <w:t xml:space="preserve">: </w:t>
      </w:r>
      <w:r w:rsidRPr="004D544F">
        <w:t xml:space="preserve">people </w:t>
      </w:r>
      <w:r>
        <w:t xml:space="preserve">may not </w:t>
      </w:r>
      <w:r w:rsidRPr="004D544F">
        <w:t>understand th</w:t>
      </w:r>
      <w:r>
        <w:t>at th</w:t>
      </w:r>
      <w:r w:rsidRPr="004D544F">
        <w:t>ey have a health problem</w:t>
      </w:r>
      <w:r>
        <w:t xml:space="preserve">, may not use prevention offers, such as </w:t>
      </w:r>
      <w:r w:rsidRPr="004D544F">
        <w:t xml:space="preserve">screening campaigns, </w:t>
      </w:r>
      <w:r>
        <w:t xml:space="preserve">and may not fully </w:t>
      </w:r>
      <w:r w:rsidRPr="004D544F">
        <w:t>benefit from therap</w:t>
      </w:r>
      <w:r>
        <w:t>y</w:t>
      </w:r>
      <w:r w:rsidRPr="004D544F">
        <w:t xml:space="preserve"> </w:t>
      </w:r>
      <w:r>
        <w:t xml:space="preserve">due to </w:t>
      </w:r>
      <w:r w:rsidRPr="004D544F">
        <w:t>lower adherence to medications</w:t>
      </w:r>
      <w:r>
        <w:t xml:space="preserve"> or</w:t>
      </w:r>
      <w:r w:rsidRPr="004D544F">
        <w:t xml:space="preserve"> poorer self-management </w:t>
      </w:r>
      <w:r>
        <w:t>in</w:t>
      </w:r>
      <w:r w:rsidRPr="004D544F">
        <w:t xml:space="preserve"> early stages of </w:t>
      </w:r>
      <w:r>
        <w:t>chronic diseases</w:t>
      </w:r>
      <w:r w:rsidRPr="004D544F">
        <w:t xml:space="preserve">. </w:t>
      </w:r>
      <w:r>
        <w:t>R</w:t>
      </w:r>
      <w:r w:rsidRPr="00055316">
        <w:t xml:space="preserve">educing </w:t>
      </w:r>
      <w:r>
        <w:t>health inequalities therefore</w:t>
      </w:r>
      <w:r w:rsidRPr="00055316">
        <w:t xml:space="preserve"> requires a multipronged </w:t>
      </w:r>
      <w:r>
        <w:t>strategy that addresses the wide range of social determinants, including those falling outside the responsibilities of health ministries and those ensuring equitable access to care for poor people and other disadvantaged groups</w:t>
      </w:r>
      <w:r w:rsidRPr="00055316">
        <w:t>.</w:t>
      </w:r>
    </w:p>
    <w:p w:rsidR="00473421" w:rsidRDefault="00473421" w:rsidP="0075163D">
      <w:pPr>
        <w:pStyle w:val="Textodecuerpo"/>
        <w:rPr>
          <w:lang w:val="en"/>
        </w:rPr>
      </w:pPr>
      <w:r>
        <w:rPr>
          <w:lang w:val="en"/>
        </w:rPr>
        <w:t>As in other policy areas it is important to start early to prevent lasting and growing health disadvantage. D</w:t>
      </w:r>
      <w:r w:rsidRPr="00F52708">
        <w:rPr>
          <w:lang w:val="en"/>
        </w:rPr>
        <w:t>irect early-childhood health interventions t</w:t>
      </w:r>
      <w:r>
        <w:rPr>
          <w:lang w:val="en"/>
        </w:rPr>
        <w:t>o</w:t>
      </w:r>
      <w:r w:rsidRPr="00F52708">
        <w:rPr>
          <w:lang w:val="en"/>
        </w:rPr>
        <w:t xml:space="preserve"> improve physical and cognitive developments </w:t>
      </w:r>
      <w:r>
        <w:rPr>
          <w:lang w:val="en"/>
        </w:rPr>
        <w:t xml:space="preserve">can help sever </w:t>
      </w:r>
      <w:r w:rsidRPr="00F52708">
        <w:rPr>
          <w:lang w:val="en"/>
        </w:rPr>
        <w:t xml:space="preserve">the transmission from </w:t>
      </w:r>
      <w:r>
        <w:rPr>
          <w:lang w:val="en"/>
        </w:rPr>
        <w:t xml:space="preserve">the </w:t>
      </w:r>
      <w:r w:rsidRPr="00F52708">
        <w:rPr>
          <w:lang w:val="en"/>
        </w:rPr>
        <w:t xml:space="preserve">low </w:t>
      </w:r>
      <w:r>
        <w:rPr>
          <w:lang w:val="en"/>
        </w:rPr>
        <w:t>socio</w:t>
      </w:r>
      <w:r w:rsidR="00B54C38">
        <w:rPr>
          <w:lang w:val="en"/>
        </w:rPr>
        <w:t>-</w:t>
      </w:r>
      <w:r>
        <w:rPr>
          <w:lang w:val="en"/>
        </w:rPr>
        <w:t>economic status (</w:t>
      </w:r>
      <w:r w:rsidRPr="00F52708">
        <w:rPr>
          <w:lang w:val="en"/>
        </w:rPr>
        <w:t>SES</w:t>
      </w:r>
      <w:r>
        <w:rPr>
          <w:lang w:val="en"/>
        </w:rPr>
        <w:t>)</w:t>
      </w:r>
      <w:r w:rsidRPr="00F52708">
        <w:rPr>
          <w:lang w:val="en"/>
        </w:rPr>
        <w:t xml:space="preserve"> </w:t>
      </w:r>
      <w:r>
        <w:rPr>
          <w:lang w:val="en"/>
        </w:rPr>
        <w:t xml:space="preserve">of </w:t>
      </w:r>
      <w:r w:rsidRPr="00F52708">
        <w:rPr>
          <w:lang w:val="en"/>
        </w:rPr>
        <w:t>parents to poor health as a child to low SES as an adult</w:t>
      </w:r>
      <w:r>
        <w:rPr>
          <w:lang w:val="en"/>
        </w:rPr>
        <w:t xml:space="preserve"> (</w:t>
      </w:r>
      <w:r w:rsidRPr="00F52708">
        <w:rPr>
          <w:lang w:val="en"/>
        </w:rPr>
        <w:t>Canning and Bowser</w:t>
      </w:r>
      <w:r>
        <w:rPr>
          <w:lang w:val="en"/>
        </w:rPr>
        <w:t>,</w:t>
      </w:r>
      <w:r w:rsidRPr="00F52708">
        <w:rPr>
          <w:lang w:val="en"/>
        </w:rPr>
        <w:t xml:space="preserve"> 2010). </w:t>
      </w:r>
      <w:r w:rsidRPr="009D76D4">
        <w:rPr>
          <w:lang w:val="en"/>
        </w:rPr>
        <w:t>Deaton (2013) also focuses on early-childhood health nutrition and disease prevention, and emphasi</w:t>
      </w:r>
      <w:r>
        <w:rPr>
          <w:lang w:val="en"/>
        </w:rPr>
        <w:t>s</w:t>
      </w:r>
      <w:r w:rsidRPr="009D76D4">
        <w:rPr>
          <w:lang w:val="en"/>
        </w:rPr>
        <w:t>e</w:t>
      </w:r>
      <w:r>
        <w:rPr>
          <w:lang w:val="en"/>
        </w:rPr>
        <w:t>s</w:t>
      </w:r>
      <w:r w:rsidRPr="009D76D4">
        <w:rPr>
          <w:lang w:val="en"/>
        </w:rPr>
        <w:t xml:space="preserve"> the importance of early life </w:t>
      </w:r>
      <w:r>
        <w:rPr>
          <w:lang w:val="en"/>
        </w:rPr>
        <w:t xml:space="preserve">health </w:t>
      </w:r>
      <w:r w:rsidRPr="009D76D4">
        <w:rPr>
          <w:lang w:val="en"/>
        </w:rPr>
        <w:t>inequalities, and of moderating the effects of parental deprivation on child outcomes.</w:t>
      </w:r>
    </w:p>
    <w:p w:rsidR="00473421" w:rsidRDefault="00473421" w:rsidP="0075163D">
      <w:pPr>
        <w:pStyle w:val="Textodecuerpo"/>
      </w:pPr>
      <w:r w:rsidRPr="00E63855">
        <w:t xml:space="preserve">Recent OECD work has shown that </w:t>
      </w:r>
      <w:r>
        <w:t xml:space="preserve">well-designed </w:t>
      </w:r>
      <w:r w:rsidRPr="00E63855">
        <w:t xml:space="preserve">prevention policies are generally effective </w:t>
      </w:r>
      <w:r>
        <w:t xml:space="preserve">to improve health </w:t>
      </w:r>
      <w:r w:rsidRPr="00E63855">
        <w:t>even though some measures may take time to produce their effects</w:t>
      </w:r>
      <w:r>
        <w:t xml:space="preserve"> </w:t>
      </w:r>
      <w:r w:rsidRPr="00E63855">
        <w:t>and become cost</w:t>
      </w:r>
      <w:r>
        <w:noBreakHyphen/>
      </w:r>
      <w:r w:rsidRPr="00E63855">
        <w:t>effective</w:t>
      </w:r>
      <w:r>
        <w:t xml:space="preserve"> (OECD, 2015c</w:t>
      </w:r>
      <w:r w:rsidRPr="00E63855">
        <w:t xml:space="preserve">). The share of health spending allocated to prevention is </w:t>
      </w:r>
      <w:r>
        <w:t xml:space="preserve">only </w:t>
      </w:r>
      <w:r w:rsidRPr="00E63855">
        <w:t xml:space="preserve">around 3% </w:t>
      </w:r>
      <w:r>
        <w:t xml:space="preserve">on average </w:t>
      </w:r>
      <w:r w:rsidRPr="00E63855">
        <w:t>in OECD</w:t>
      </w:r>
      <w:r>
        <w:t xml:space="preserve"> countries and</w:t>
      </w:r>
      <w:r w:rsidRPr="00E63855">
        <w:t xml:space="preserve"> should be expanded by targeting </w:t>
      </w:r>
      <w:r>
        <w:t xml:space="preserve">key </w:t>
      </w:r>
      <w:r w:rsidRPr="00E63855">
        <w:t>risk factors</w:t>
      </w:r>
      <w:r>
        <w:t xml:space="preserve"> and population groups</w:t>
      </w:r>
      <w:r w:rsidRPr="00E63855">
        <w:t xml:space="preserve"> (Devaux </w:t>
      </w:r>
      <w:r>
        <w:t>and</w:t>
      </w:r>
      <w:r w:rsidRPr="00E63855">
        <w:t xml:space="preserve"> Sassi, 2015). </w:t>
      </w:r>
      <w:r w:rsidRPr="00664F79">
        <w:t xml:space="preserve">The best prevention policies are multi-intervention strategies that include a mix of public awareness campaigns, regulations (e.g. regulations of advertisements </w:t>
      </w:r>
      <w:r>
        <w:t xml:space="preserve">and sales </w:t>
      </w:r>
      <w:r w:rsidRPr="00664F79">
        <w:t>of unhealthy products), taxation and counselling by general practitioners.</w:t>
      </w:r>
    </w:p>
    <w:p w:rsidR="00473421" w:rsidRPr="00023E04" w:rsidRDefault="00473421" w:rsidP="0075163D">
      <w:pPr>
        <w:pStyle w:val="Textodecuerpo"/>
      </w:pPr>
      <w:r>
        <w:t>Prevention can reduce health inequalities. P</w:t>
      </w:r>
      <w:r w:rsidRPr="00190359">
        <w:t>eople in lower socio</w:t>
      </w:r>
      <w:r w:rsidR="00B54C38">
        <w:t>-</w:t>
      </w:r>
      <w:r w:rsidRPr="00190359">
        <w:t>economic groups are more likely to smoke, to be heavy alcohol drinkers (particularly men) and to be obese, all important risk factors for many diseases</w:t>
      </w:r>
      <w:r>
        <w:t xml:space="preserve"> and causes of death</w:t>
      </w:r>
      <w:r w:rsidRPr="00190359">
        <w:t xml:space="preserve">. </w:t>
      </w:r>
      <w:r>
        <w:t xml:space="preserve">Cardio-vascular disease, which is strongly related to risky behaviour, smoking in particular, is the first cause of mortality inequality across educational groups (Chapter 4). People with low SES </w:t>
      </w:r>
      <w:r w:rsidRPr="0050147A">
        <w:t xml:space="preserve">could </w:t>
      </w:r>
      <w:r>
        <w:t xml:space="preserve">therefore </w:t>
      </w:r>
      <w:r w:rsidRPr="0050147A">
        <w:t>benefit more from prevention policy aiming to tackle harmful alcohol consumption (</w:t>
      </w:r>
      <w:r>
        <w:t xml:space="preserve">OECD, </w:t>
      </w:r>
      <w:r w:rsidRPr="0050147A">
        <w:t>2015</w:t>
      </w:r>
      <w:r>
        <w:t>c</w:t>
      </w:r>
      <w:r w:rsidRPr="0050147A">
        <w:t xml:space="preserve">) </w:t>
      </w:r>
      <w:r>
        <w:t>and obesity (</w:t>
      </w:r>
      <w:r w:rsidRPr="0050147A">
        <w:t xml:space="preserve">Sassi </w:t>
      </w:r>
      <w:r w:rsidRPr="00755DFB">
        <w:t>et al</w:t>
      </w:r>
      <w:r w:rsidRPr="0050147A">
        <w:t>.</w:t>
      </w:r>
      <w:r>
        <w:t>,</w:t>
      </w:r>
      <w:r w:rsidRPr="0050147A">
        <w:t xml:space="preserve"> 2009)</w:t>
      </w:r>
      <w:r w:rsidRPr="001F086B">
        <w:t xml:space="preserve">. </w:t>
      </w:r>
      <w:r>
        <w:t xml:space="preserve">These prevention </w:t>
      </w:r>
      <w:r w:rsidRPr="001F086B">
        <w:t xml:space="preserve">policies </w:t>
      </w:r>
      <w:r>
        <w:t>might not only i</w:t>
      </w:r>
      <w:r w:rsidRPr="001F086B">
        <w:t xml:space="preserve">mprove </w:t>
      </w:r>
      <w:r>
        <w:t xml:space="preserve">the </w:t>
      </w:r>
      <w:r w:rsidRPr="001F086B">
        <w:t>health</w:t>
      </w:r>
      <w:r>
        <w:t xml:space="preserve"> of vulnerable population groups</w:t>
      </w:r>
      <w:r w:rsidRPr="001F086B">
        <w:t xml:space="preserve">, </w:t>
      </w:r>
      <w:r>
        <w:t xml:space="preserve">but also </w:t>
      </w:r>
      <w:r w:rsidRPr="001F086B">
        <w:t xml:space="preserve">reduce sick leave and disability benefit claims, </w:t>
      </w:r>
      <w:r>
        <w:t>and help</w:t>
      </w:r>
      <w:r w:rsidRPr="001F086B">
        <w:t xml:space="preserve"> people </w:t>
      </w:r>
      <w:r>
        <w:t xml:space="preserve">remain in the </w:t>
      </w:r>
      <w:r w:rsidRPr="00023E04">
        <w:t>labour market (Devaux et Sassi, 2015).</w:t>
      </w:r>
    </w:p>
    <w:p w:rsidR="00473421" w:rsidRPr="00E9240F" w:rsidRDefault="00473421" w:rsidP="0075163D">
      <w:pPr>
        <w:pStyle w:val="Textodecuerpo"/>
      </w:pPr>
      <w:r>
        <w:t>Broad health promotion campaigns, however, often fail to reach the most d</w:t>
      </w:r>
      <w:r w:rsidRPr="00271E87">
        <w:t>isadvantaged socio-economic groups.</w:t>
      </w:r>
      <w:r>
        <w:t xml:space="preserve"> I</w:t>
      </w:r>
      <w:r w:rsidRPr="00E9240F">
        <w:t>nequalities exist even when screening services are provided free of charge: people with low level of education or income are less likely to take part in screening programmes for cancers and other health problems. This means that there are other non-financial barriers such as lack of awareness of potential benefits, waiting time and distance to travel that also need to be addressed to promote a more equal use of preventive and early diagnosis services (Dev</w:t>
      </w:r>
      <w:r w:rsidRPr="00E9240F" w:rsidDel="00C04B7D">
        <w:t>aux and de Looper, 2012)</w:t>
      </w:r>
      <w:r w:rsidRPr="00E9240F">
        <w:t>.</w:t>
      </w:r>
    </w:p>
    <w:p w:rsidR="00473421" w:rsidRDefault="00473421" w:rsidP="0075163D">
      <w:pPr>
        <w:pStyle w:val="Textodecuerpo"/>
      </w:pPr>
      <w:r>
        <w:t>By contrast</w:t>
      </w:r>
      <w:r w:rsidRPr="00271E87">
        <w:t xml:space="preserve">, fiscal measures, </w:t>
      </w:r>
      <w:r>
        <w:t>such as taxes on certain products or substances which are identified as being unhealthy</w:t>
      </w:r>
      <w:r w:rsidRPr="00271E87">
        <w:t xml:space="preserve">, </w:t>
      </w:r>
      <w:r>
        <w:t xml:space="preserve">have been found to be </w:t>
      </w:r>
      <w:r w:rsidRPr="00271E87">
        <w:t xml:space="preserve">the only intervention producing consistently larger health gains </w:t>
      </w:r>
      <w:r>
        <w:t>among poorer groups</w:t>
      </w:r>
      <w:r w:rsidRPr="00271E87" w:rsidDel="005964F4">
        <w:t xml:space="preserve"> </w:t>
      </w:r>
      <w:r>
        <w:t xml:space="preserve">than other groups </w:t>
      </w:r>
      <w:r w:rsidRPr="00271E87">
        <w:t>due to a greater response to price changes (</w:t>
      </w:r>
      <w:r>
        <w:t>OECD</w:t>
      </w:r>
      <w:r w:rsidRPr="00271E87">
        <w:t>, 2010</w:t>
      </w:r>
      <w:r>
        <w:t>b</w:t>
      </w:r>
      <w:r w:rsidRPr="00271E87">
        <w:t xml:space="preserve">). </w:t>
      </w:r>
      <w:r>
        <w:t>F</w:t>
      </w:r>
      <w:r w:rsidRPr="00271E87">
        <w:t>iscal policies to curb behaviours related to smoking or alcohol consumption could be thought as stand-alone</w:t>
      </w:r>
      <w:r>
        <w:t xml:space="preserve"> as the objective is simply to induce people to quit unhealthy behaviours. However, measures promoting </w:t>
      </w:r>
      <w:r w:rsidRPr="00271E87">
        <w:t xml:space="preserve">a healthier diet </w:t>
      </w:r>
      <w:r>
        <w:t>aim at replacing unhealthy by healthier, often more expensive, products; they could therefore be</w:t>
      </w:r>
      <w:r w:rsidRPr="00271E87">
        <w:t xml:space="preserve"> regressive, and should be accompanied by targeted transfers to compensate this negative effect.</w:t>
      </w:r>
    </w:p>
    <w:p w:rsidR="00473421" w:rsidRDefault="00473421" w:rsidP="0075163D">
      <w:pPr>
        <w:pStyle w:val="Ttulo3"/>
      </w:pPr>
      <w:r w:rsidRPr="008728E3">
        <w:t xml:space="preserve">Mitigating </w:t>
      </w:r>
      <w:r>
        <w:t xml:space="preserve">entrenched </w:t>
      </w:r>
      <w:r w:rsidRPr="008728E3">
        <w:t>inequalit</w:t>
      </w:r>
      <w:r>
        <w:t>ies</w:t>
      </w:r>
    </w:p>
    <w:p w:rsidR="00473421" w:rsidRPr="000C7325" w:rsidRDefault="00473421" w:rsidP="0075163D">
      <w:pPr>
        <w:pStyle w:val="Textodecuerpo"/>
        <w:rPr>
          <w:b/>
        </w:rPr>
      </w:pPr>
      <w:r>
        <w:t xml:space="preserve">As illustrated in this report, disadvantage starts and is best addressed early. Prevention policies can go a long way to reduce inequalities and halt their progression. But not all inequalities can be picked up in time and not all prevention measures will be successful. Moreover, some inequalities develop at working ages and, in particular, towards the end of people’s careers. Despite the </w:t>
      </w:r>
      <w:r w:rsidRPr="00392428">
        <w:t>evidence that by age</w:t>
      </w:r>
      <w:r>
        <w:t> </w:t>
      </w:r>
      <w:r w:rsidRPr="00392428">
        <w:t xml:space="preserve">50 lifetime income inequality is deeply entrenched, </w:t>
      </w:r>
      <w:r>
        <w:t>a</w:t>
      </w:r>
      <w:r w:rsidRPr="000C7325">
        <w:t xml:space="preserve"> lot can </w:t>
      </w:r>
      <w:r>
        <w:t xml:space="preserve">still </w:t>
      </w:r>
      <w:r w:rsidRPr="006C3B65">
        <w:t xml:space="preserve">be done </w:t>
      </w:r>
      <w:r>
        <w:t>for</w:t>
      </w:r>
      <w:r w:rsidRPr="006C3B65">
        <w:t xml:space="preserve"> </w:t>
      </w:r>
      <w:r>
        <w:t>this group by</w:t>
      </w:r>
      <w:r w:rsidRPr="006C3B65">
        <w:t xml:space="preserve"> mitigat</w:t>
      </w:r>
      <w:r>
        <w:t>ing</w:t>
      </w:r>
      <w:r w:rsidRPr="006C3B65">
        <w:t xml:space="preserve"> </w:t>
      </w:r>
      <w:r>
        <w:t>disadvantage. A range of policies is needed, such as</w:t>
      </w:r>
      <w:r w:rsidRPr="006C3B65">
        <w:t xml:space="preserve"> </w:t>
      </w:r>
      <w:r>
        <w:t xml:space="preserve">continued promotion of healthy lifestyles, </w:t>
      </w:r>
      <w:r w:rsidRPr="006C3B65">
        <w:t>en</w:t>
      </w:r>
      <w:r>
        <w:t>suring</w:t>
      </w:r>
      <w:r w:rsidRPr="006C3B65">
        <w:t xml:space="preserve"> equal access to good-quality health care</w:t>
      </w:r>
      <w:r>
        <w:t>,</w:t>
      </w:r>
      <w:r w:rsidRPr="006C3B65">
        <w:t xml:space="preserve"> </w:t>
      </w:r>
      <w:r>
        <w:t xml:space="preserve">adopting </w:t>
      </w:r>
      <w:r w:rsidRPr="006C3B65">
        <w:t>inclusive labour market policies for older workers</w:t>
      </w:r>
      <w:r>
        <w:t xml:space="preserve"> and</w:t>
      </w:r>
      <w:r w:rsidRPr="006C3B65">
        <w:t xml:space="preserve"> facilitat</w:t>
      </w:r>
      <w:r>
        <w:t>ing</w:t>
      </w:r>
      <w:r w:rsidRPr="006C3B65">
        <w:t xml:space="preserve"> a smooth transition to retirement.</w:t>
      </w:r>
    </w:p>
    <w:p w:rsidR="00473421" w:rsidRPr="00417521" w:rsidRDefault="00473421" w:rsidP="0075163D">
      <w:pPr>
        <w:pStyle w:val="Ttulo4"/>
      </w:pPr>
      <w:r w:rsidRPr="00417521">
        <w:t xml:space="preserve">Promoting </w:t>
      </w:r>
      <w:r>
        <w:t xml:space="preserve">healthy ageing through </w:t>
      </w:r>
      <w:r w:rsidRPr="00417521">
        <w:t>equal access to health care</w:t>
      </w:r>
    </w:p>
    <w:p w:rsidR="00473421" w:rsidRDefault="00473421" w:rsidP="0075163D">
      <w:pPr>
        <w:pStyle w:val="Textodecuerpo"/>
      </w:pPr>
      <w:r>
        <w:t>A</w:t>
      </w:r>
      <w:r w:rsidRPr="00E9240F">
        <w:t>ll OECD countries, despite the common endorsed</w:t>
      </w:r>
      <w:r>
        <w:t xml:space="preserve"> </w:t>
      </w:r>
      <w:r w:rsidRPr="00E9240F">
        <w:t>principle of adequate</w:t>
      </w:r>
      <w:r>
        <w:t xml:space="preserve"> </w:t>
      </w:r>
      <w:r w:rsidRPr="00E9240F">
        <w:t>access to health care for all people</w:t>
      </w:r>
      <w:r>
        <w:t>,</w:t>
      </w:r>
      <w:r w:rsidRPr="00E9240F">
        <w:t xml:space="preserve"> </w:t>
      </w:r>
      <w:r>
        <w:t>have</w:t>
      </w:r>
      <w:r w:rsidRPr="00E9240F">
        <w:t xml:space="preserve"> disparities in access to health services</w:t>
      </w:r>
      <w:r>
        <w:t>,</w:t>
      </w:r>
      <w:r w:rsidRPr="00E9240F">
        <w:t xml:space="preserve"> and many people report not being able to meet health care needs, largely among low income groups. The main reason </w:t>
      </w:r>
      <w:r>
        <w:t xml:space="preserve">provided </w:t>
      </w:r>
      <w:r w:rsidRPr="00E9240F">
        <w:t xml:space="preserve">by survey respondents was that care is too expensive (OECD/EU, 2016; Commonwealth Fund, 2016). </w:t>
      </w:r>
      <w:r>
        <w:t>In addition, i</w:t>
      </w:r>
      <w:r w:rsidRPr="00E9240F">
        <w:t>nnovations in health</w:t>
      </w:r>
      <w:r>
        <w:t xml:space="preserve"> </w:t>
      </w:r>
      <w:r w:rsidRPr="00E9240F">
        <w:t xml:space="preserve">care that have led to overall health improvements and longer life expectancy </w:t>
      </w:r>
      <w:r>
        <w:t>are likely to</w:t>
      </w:r>
      <w:r w:rsidRPr="00E9240F">
        <w:t xml:space="preserve"> have </w:t>
      </w:r>
      <w:r>
        <w:t xml:space="preserve">benefited </w:t>
      </w:r>
      <w:r w:rsidRPr="00E9240F">
        <w:t>groups with higher levels of education and income</w:t>
      </w:r>
      <w:r>
        <w:t xml:space="preserve"> more</w:t>
      </w:r>
      <w:r w:rsidRPr="00E9240F">
        <w:t xml:space="preserve"> (Glied and Lleras-Muney, 2008)</w:t>
      </w:r>
      <w:r>
        <w:t xml:space="preserve">, </w:t>
      </w:r>
      <w:r w:rsidRPr="00E9240F">
        <w:t>at least temporarily</w:t>
      </w:r>
      <w:r>
        <w:t xml:space="preserve">, </w:t>
      </w:r>
      <w:r w:rsidRPr="00E9240F">
        <w:t xml:space="preserve">due to better access to cutting edge care and service providers or to </w:t>
      </w:r>
      <w:r>
        <w:t>the ability to spend</w:t>
      </w:r>
      <w:r w:rsidRPr="00E9240F">
        <w:t xml:space="preserve"> more </w:t>
      </w:r>
      <w:r>
        <w:t>money</w:t>
      </w:r>
      <w:r w:rsidRPr="00E9240F">
        <w:t xml:space="preserve"> on expensive treatments.</w:t>
      </w:r>
    </w:p>
    <w:p w:rsidR="00473421" w:rsidRPr="00CA0CA5" w:rsidRDefault="00473421" w:rsidP="0075163D">
      <w:pPr>
        <w:pStyle w:val="Textodecuerpo"/>
      </w:pPr>
      <w:r w:rsidRPr="00CA0CA5">
        <w:t>Cost effective prevention, primary care and screening services should</w:t>
      </w:r>
      <w:r>
        <w:t xml:space="preserve"> thus </w:t>
      </w:r>
      <w:r w:rsidRPr="00CA0CA5">
        <w:t>be provided for low or no cost to prevent diseases (e.g. vaccination against influenza among elderly people) and encourage early detection of cancer and other diseases. Many OECD countries have introduced mechanisms to facilitate health care access for low-income patients through co-payment reductions or exemptions (Paris et al., 2016). In emerging economies a major issue in access to health is that, even when people have the right to obtain essential medicines and treatments free of charge, these goods and services, provided in principle by the public sector, may not be available due to budget constraints.</w:t>
      </w:r>
    </w:p>
    <w:p w:rsidR="00473421" w:rsidRPr="00E9240F" w:rsidRDefault="00473421" w:rsidP="0075163D">
      <w:pPr>
        <w:pStyle w:val="Textodecuerpo"/>
      </w:pPr>
      <w:r w:rsidRPr="00E9240F">
        <w:t>Access to health services in rural areas, where many older and poorer people live, can be more constrained than in urban areas</w:t>
      </w:r>
      <w:r>
        <w:t xml:space="preserve"> in both OECD countries and emerging economies</w:t>
      </w:r>
      <w:r w:rsidRPr="00E9240F">
        <w:t xml:space="preserve">. Mobile facilities and telehealth services, </w:t>
      </w:r>
      <w:r>
        <w:t xml:space="preserve">such as </w:t>
      </w:r>
      <w:r w:rsidRPr="00E9240F">
        <w:t>mobile diabetes counselling in Germany (CHRODIS, 2016) and the Humber Digital Health Community in the U</w:t>
      </w:r>
      <w:r>
        <w:t>nited Kingdom, can help</w:t>
      </w:r>
      <w:r w:rsidRPr="00E9240F">
        <w:t xml:space="preserve">. However, telehealth should not be seen as a replacement for more traditional face-to-face consultations, particularly among older populations </w:t>
      </w:r>
      <w:r>
        <w:t>who</w:t>
      </w:r>
      <w:r w:rsidRPr="00E9240F">
        <w:t xml:space="preserve"> may be less able to use new mobile health (mHealth) applications.</w:t>
      </w:r>
    </w:p>
    <w:p w:rsidR="00473421" w:rsidRPr="000D6F93" w:rsidRDefault="00473421" w:rsidP="0075163D">
      <w:pPr>
        <w:pStyle w:val="Textodecuerpo"/>
      </w:pPr>
      <w:r w:rsidRPr="00E9240F">
        <w:t>Health systems also need to be adapted to better manage the growing number of people living with one or more chronic conditions who often are over</w:t>
      </w:r>
      <w:r>
        <w:t> </w:t>
      </w:r>
      <w:r w:rsidRPr="00E9240F">
        <w:t>65 and come from lower socio</w:t>
      </w:r>
      <w:r w:rsidR="00B54C38">
        <w:t>-</w:t>
      </w:r>
      <w:r w:rsidRPr="00E9240F">
        <w:t>economic groups. In particular, health care should be better integrated across various disciplines towards a patient-centred approach</w:t>
      </w:r>
      <w:r>
        <w:t xml:space="preserve">; </w:t>
      </w:r>
      <w:r w:rsidRPr="00E9240F">
        <w:t xml:space="preserve">physician </w:t>
      </w:r>
      <w:r>
        <w:t xml:space="preserve">and nurse </w:t>
      </w:r>
      <w:r w:rsidRPr="00E9240F">
        <w:t xml:space="preserve">specialisation in geriatric care should </w:t>
      </w:r>
      <w:r>
        <w:t xml:space="preserve">also </w:t>
      </w:r>
      <w:r w:rsidRPr="00E9240F">
        <w:t xml:space="preserve">be further </w:t>
      </w:r>
      <w:r w:rsidRPr="000D6F93">
        <w:t xml:space="preserve">developed. There is a growing recognition that managing the care of ageing population will require interdisciplinary teams who can provide a seamless care </w:t>
      </w:r>
      <w:r>
        <w:t xml:space="preserve">between health and social care. </w:t>
      </w:r>
      <w:r w:rsidRPr="000D6F93">
        <w:t>This in turn will require changes in education and training to promote inter-disciplinary education and ensure that health care professionals can work effectively as a team across different disciplines (social care, mental health, long-term care, medical care).</w:t>
      </w:r>
    </w:p>
    <w:p w:rsidR="00473421" w:rsidRDefault="00473421" w:rsidP="0075163D">
      <w:pPr>
        <w:pStyle w:val="Textodecuerpo"/>
      </w:pPr>
      <w:r w:rsidRPr="00E9240F">
        <w:t xml:space="preserve">Finally, </w:t>
      </w:r>
      <w:r>
        <w:t xml:space="preserve">policy measures </w:t>
      </w:r>
      <w:r w:rsidRPr="00E9240F">
        <w:t>can improve health literacy and self-management with emphasis on education, improving patient skills, and empowerment (Brainard et al., 2016). Increasing health literacy, particularly among lower educated and disadvantaged groups, should be a high priority to improve or at least prevent a worsening of health conditions. Most interventions on self-management provide patient education through group sessions delivered by health professionals (Berzins et al., 2009).</w:t>
      </w:r>
    </w:p>
    <w:p w:rsidR="00473421" w:rsidRPr="007F19BE" w:rsidRDefault="00473421" w:rsidP="0075163D">
      <w:pPr>
        <w:pStyle w:val="Ttulo4"/>
      </w:pPr>
      <w:r w:rsidRPr="007F19BE">
        <w:t xml:space="preserve">Tackling health inequalities </w:t>
      </w:r>
      <w:r>
        <w:t>among older age groups</w:t>
      </w:r>
    </w:p>
    <w:p w:rsidR="00473421" w:rsidRPr="00664F79" w:rsidRDefault="00473421" w:rsidP="0075163D">
      <w:pPr>
        <w:pStyle w:val="Textodecuerpo"/>
      </w:pPr>
      <w:r>
        <w:rPr>
          <w:lang w:val="en"/>
        </w:rPr>
        <w:t>Health p</w:t>
      </w:r>
      <w:r w:rsidRPr="009303A2">
        <w:t xml:space="preserve">revention </w:t>
      </w:r>
      <w:r>
        <w:t xml:space="preserve">measures can </w:t>
      </w:r>
      <w:r w:rsidRPr="009303A2">
        <w:t xml:space="preserve">substantially improve the health of the elderly (Goldman </w:t>
      </w:r>
      <w:r w:rsidRPr="008125BC">
        <w:t>et al.,</w:t>
      </w:r>
      <w:r w:rsidRPr="009303A2">
        <w:t xml:space="preserve"> 2009).</w:t>
      </w:r>
      <w:r>
        <w:t xml:space="preserve"> </w:t>
      </w:r>
      <w:r w:rsidRPr="00664F79">
        <w:t xml:space="preserve">Comprehensive programmes such as the Australia Commonwealth and Victorian Governments’ packages of aged care reforms </w:t>
      </w:r>
      <w:r>
        <w:t>include</w:t>
      </w:r>
      <w:r w:rsidRPr="00664F79">
        <w:t xml:space="preserve"> better access to information, integration and support of home and community care (Batchelor et al., 2016). The “Living Longer Living Stronger” physical activity intervention improved health outcomes for adults ages 50 and over in Australia (Batchelor et al., 2016).</w:t>
      </w:r>
    </w:p>
    <w:p w:rsidR="00473421" w:rsidRDefault="00473421" w:rsidP="0075163D">
      <w:pPr>
        <w:pStyle w:val="Textodecuerpo"/>
      </w:pPr>
      <w:r>
        <w:t>Moreover, p</w:t>
      </w:r>
      <w:r w:rsidRPr="00664F79">
        <w:t xml:space="preserve">revention policies </w:t>
      </w:r>
      <w:r>
        <w:t xml:space="preserve">targeted at middle and older ages </w:t>
      </w:r>
      <w:r w:rsidRPr="00664F79">
        <w:t>can reduce health inequalities across socio</w:t>
      </w:r>
      <w:r w:rsidR="00B54C38">
        <w:t>-</w:t>
      </w:r>
      <w:r w:rsidRPr="00664F79">
        <w:t>economic groups. In the United States, the US</w:t>
      </w:r>
      <w:r>
        <w:t> </w:t>
      </w:r>
      <w:r w:rsidRPr="00664F79">
        <w:t>Senior Farmers’ Market Nutrition Program</w:t>
      </w:r>
      <w:r>
        <w:t>,</w:t>
      </w:r>
      <w:r w:rsidRPr="00664F79">
        <w:t xml:space="preserve"> </w:t>
      </w:r>
      <w:r>
        <w:t xml:space="preserve">which </w:t>
      </w:r>
      <w:r w:rsidRPr="00664F79">
        <w:t>target</w:t>
      </w:r>
      <w:r>
        <w:t>s coupons</w:t>
      </w:r>
      <w:r w:rsidRPr="00664F79">
        <w:t xml:space="preserve"> at low-income</w:t>
      </w:r>
      <w:r>
        <w:t>,</w:t>
      </w:r>
      <w:r w:rsidRPr="00664F79">
        <w:t xml:space="preserve"> older adults encourage</w:t>
      </w:r>
      <w:r>
        <w:t>s</w:t>
      </w:r>
      <w:r w:rsidRPr="00664F79">
        <w:t xml:space="preserve"> healthy eating, </w:t>
      </w:r>
      <w:r>
        <w:t>is</w:t>
      </w:r>
      <w:r w:rsidRPr="00664F79">
        <w:t xml:space="preserve"> cost</w:t>
      </w:r>
      <w:r>
        <w:t>-</w:t>
      </w:r>
      <w:r w:rsidRPr="00664F79">
        <w:t>effective, and improve</w:t>
      </w:r>
      <w:r>
        <w:t>s</w:t>
      </w:r>
      <w:r w:rsidRPr="00664F79">
        <w:t xml:space="preserve"> health outcomes (Batchelor et al., 2016). The PUMP</w:t>
      </w:r>
      <w:r>
        <w:t> </w:t>
      </w:r>
      <w:r w:rsidRPr="00664F79">
        <w:t>(</w:t>
      </w:r>
      <w:r w:rsidRPr="00EC0563">
        <w:rPr>
          <w:i/>
        </w:rPr>
        <w:t>Por Un Millon de Pasos</w:t>
      </w:r>
      <w:r w:rsidRPr="00664F79">
        <w:rPr>
          <w:rFonts w:ascii="Calibri" w:hAnsi="Calibri" w:cs="Calibri"/>
        </w:rPr>
        <w:t xml:space="preserve">) </w:t>
      </w:r>
      <w:r w:rsidRPr="00664F79">
        <w:t>programme in Spain encourages physical activity by providing pedometers and a support network targeting the elderly and people with disabilities</w:t>
      </w:r>
      <w:r>
        <w:t>,</w:t>
      </w:r>
      <w:r w:rsidRPr="00664F79">
        <w:t xml:space="preserve"> including those in remote areas. This low cost programme has been replicated in other countries as a way to </w:t>
      </w:r>
      <w:r>
        <w:t>improve health through more</w:t>
      </w:r>
      <w:r w:rsidRPr="00664F79">
        <w:t xml:space="preserve"> physical activity (CHRODIS, 2016).</w:t>
      </w:r>
    </w:p>
    <w:p w:rsidR="00473421" w:rsidRPr="002D28FA" w:rsidRDefault="00473421" w:rsidP="0075163D">
      <w:pPr>
        <w:pStyle w:val="Ttulo4"/>
      </w:pPr>
      <w:r w:rsidRPr="002D28FA">
        <w:t>Limiting the impact of job losses and combating long-term unemployment</w:t>
      </w:r>
    </w:p>
    <w:p w:rsidR="00473421" w:rsidRPr="00F06BE9" w:rsidRDefault="00473421" w:rsidP="0075163D">
      <w:pPr>
        <w:pStyle w:val="Textodecuerpo"/>
      </w:pPr>
      <w:r>
        <w:t xml:space="preserve">Many </w:t>
      </w:r>
      <w:r>
        <w:fldChar w:fldCharType="begin"/>
      </w:r>
      <w:r>
        <w:instrText xml:space="preserve"> MACROBUTTON PARADOC </w:instrText>
      </w:r>
      <w:r>
        <w:fldChar w:fldCharType="end"/>
      </w:r>
      <w:r w:rsidRPr="00F06BE9">
        <w:t xml:space="preserve"> workers </w:t>
      </w:r>
      <w:r>
        <w:t xml:space="preserve">in OECD countries are </w:t>
      </w:r>
      <w:r w:rsidRPr="00F06BE9">
        <w:t>displaced every year due to economic change (OECD</w:t>
      </w:r>
      <w:r>
        <w:t>,</w:t>
      </w:r>
      <w:r w:rsidRPr="00F06BE9">
        <w:t xml:space="preserve"> 2013</w:t>
      </w:r>
      <w:r>
        <w:t>c</w:t>
      </w:r>
      <w:r w:rsidRPr="00F06BE9">
        <w:t xml:space="preserve">). </w:t>
      </w:r>
      <w:r>
        <w:t>O</w:t>
      </w:r>
      <w:r w:rsidRPr="00F06BE9">
        <w:t xml:space="preserve">lder and long-tenure </w:t>
      </w:r>
      <w:r>
        <w:t xml:space="preserve">displaced </w:t>
      </w:r>
      <w:r w:rsidRPr="00F06BE9">
        <w:t xml:space="preserve">workers are at greatest risk of long-term unemployment or </w:t>
      </w:r>
      <w:r>
        <w:t xml:space="preserve">finding </w:t>
      </w:r>
      <w:r w:rsidRPr="00F06BE9">
        <w:t xml:space="preserve">only jobs that </w:t>
      </w:r>
      <w:r>
        <w:t>are ill–</w:t>
      </w:r>
      <w:r w:rsidRPr="00F06BE9">
        <w:t>match</w:t>
      </w:r>
      <w:r>
        <w:t>ed to</w:t>
      </w:r>
      <w:r w:rsidRPr="00F06BE9">
        <w:t xml:space="preserve"> their skills and</w:t>
      </w:r>
      <w:r>
        <w:t xml:space="preserve"> less well paid than their previous jobs</w:t>
      </w:r>
      <w:r w:rsidRPr="00F06BE9">
        <w:t xml:space="preserve">. </w:t>
      </w:r>
      <w:r>
        <w:t>Retirement income security can be compromised as long-term job seekers will have lower contributions, thus earning lower pension entitlements, and be less likely to save. J</w:t>
      </w:r>
      <w:r w:rsidRPr="004E62CA">
        <w:t>ob displace</w:t>
      </w:r>
      <w:r>
        <w:t>ment</w:t>
      </w:r>
      <w:r w:rsidRPr="004E62CA">
        <w:t xml:space="preserve"> </w:t>
      </w:r>
      <w:r>
        <w:t xml:space="preserve">also has </w:t>
      </w:r>
      <w:r w:rsidRPr="004E62CA">
        <w:t>significant adverse effects on health, including higher mortality</w:t>
      </w:r>
      <w:r>
        <w:t xml:space="preserve"> (Gallo et al., 2000; Sullivan and von Wachter, 2009)</w:t>
      </w:r>
      <w:r w:rsidRPr="00F06BE9">
        <w:t xml:space="preserve">. Policies that assist displaced workers to reintegrate into suitable jobs can thus help to mitigate </w:t>
      </w:r>
      <w:r>
        <w:t xml:space="preserve">inequalities, in particular at </w:t>
      </w:r>
      <w:r w:rsidRPr="00F06BE9">
        <w:t>older ages.</w:t>
      </w:r>
    </w:p>
    <w:p w:rsidR="00473421" w:rsidRPr="00F06BE9" w:rsidRDefault="00473421" w:rsidP="0075163D">
      <w:pPr>
        <w:pStyle w:val="Textodecuerpo"/>
      </w:pPr>
      <w:r w:rsidRPr="00F06BE9">
        <w:t xml:space="preserve">The OECD </w:t>
      </w:r>
      <w:r>
        <w:t>has</w:t>
      </w:r>
      <w:r w:rsidRPr="00F06BE9">
        <w:t xml:space="preserve"> </w:t>
      </w:r>
      <w:r>
        <w:t xml:space="preserve">identified a range </w:t>
      </w:r>
      <w:r w:rsidRPr="00F06BE9">
        <w:t>of policies to assist displaced workers (OECD, 2016</w:t>
      </w:r>
      <w:r>
        <w:t>d</w:t>
      </w:r>
      <w:r w:rsidRPr="00F06BE9">
        <w:t xml:space="preserve">). </w:t>
      </w:r>
      <w:r>
        <w:t>Such measures</w:t>
      </w:r>
      <w:r w:rsidRPr="00F06BE9">
        <w:t xml:space="preserve"> need to address the particular difficulties faced by older and long-tenure workers who have not searched for a job in many years and </w:t>
      </w:r>
      <w:r>
        <w:t>thus need well-targeted assistance</w:t>
      </w:r>
      <w:r w:rsidRPr="00F06BE9">
        <w:t xml:space="preserve">. </w:t>
      </w:r>
      <w:r>
        <w:t>C</w:t>
      </w:r>
      <w:r w:rsidRPr="00F06BE9">
        <w:t>ounselling</w:t>
      </w:r>
      <w:r>
        <w:t>, skills audits</w:t>
      </w:r>
      <w:r w:rsidRPr="00F06BE9">
        <w:t xml:space="preserve"> and job search assistance </w:t>
      </w:r>
      <w:r>
        <w:t xml:space="preserve">are needed </w:t>
      </w:r>
      <w:r w:rsidRPr="00F06BE9">
        <w:t xml:space="preserve">early </w:t>
      </w:r>
      <w:r>
        <w:t>on</w:t>
      </w:r>
      <w:r w:rsidRPr="00F06BE9">
        <w:t xml:space="preserve">, preferably during the notice period before </w:t>
      </w:r>
      <w:r>
        <w:t xml:space="preserve">workers </w:t>
      </w:r>
      <w:r w:rsidRPr="00F06BE9">
        <w:t>become unemployed. When appropriate, counselling should include an offer of training t</w:t>
      </w:r>
      <w:r>
        <w:t xml:space="preserve">o </w:t>
      </w:r>
      <w:r w:rsidRPr="00F06BE9">
        <w:t xml:space="preserve">fill specific skills gaps. </w:t>
      </w:r>
      <w:r>
        <w:t xml:space="preserve">In addition, to avoid becoming demoralised after a long period of </w:t>
      </w:r>
      <w:r w:rsidRPr="00EE2902">
        <w:t xml:space="preserve">unemployment, the </w:t>
      </w:r>
      <w:r>
        <w:t>public employment service (PES)</w:t>
      </w:r>
      <w:r w:rsidRPr="00EE2902">
        <w:t xml:space="preserve"> may need to supplement job search assistance with retraining or</w:t>
      </w:r>
      <w:r w:rsidRPr="00F06BE9">
        <w:t xml:space="preserve"> hiring subsidies</w:t>
      </w:r>
      <w:r>
        <w:t>.</w:t>
      </w:r>
      <w:r w:rsidRPr="00F06BE9">
        <w:t xml:space="preserve"> Since these measures are expensive, it is important that the effectiveness of these measures </w:t>
      </w:r>
      <w:r>
        <w:t>is</w:t>
      </w:r>
      <w:r w:rsidRPr="00F06BE9">
        <w:t xml:space="preserve"> constantly evaluated.</w:t>
      </w:r>
    </w:p>
    <w:p w:rsidR="00473421" w:rsidRDefault="00473421" w:rsidP="0075163D">
      <w:pPr>
        <w:pStyle w:val="Ttulo4"/>
      </w:pPr>
      <w:r w:rsidRPr="00E04554">
        <w:t>Providing equal opportunities for workers to upgrade their skills</w:t>
      </w:r>
    </w:p>
    <w:p w:rsidR="00473421" w:rsidRPr="008125BC" w:rsidRDefault="00473421" w:rsidP="0075163D">
      <w:pPr>
        <w:pStyle w:val="Textodecuerpo"/>
        <w:rPr>
          <w:spacing w:val="-2"/>
        </w:rPr>
      </w:pPr>
      <w:r w:rsidRPr="008125BC">
        <w:rPr>
          <w:spacing w:val="-2"/>
        </w:rPr>
        <w:t xml:space="preserve">Promoting the employability of workers </w:t>
      </w:r>
      <w:r w:rsidRPr="008125BC">
        <w:rPr>
          <w:i/>
          <w:spacing w:val="-2"/>
        </w:rPr>
        <w:t>throughout their working lives</w:t>
      </w:r>
      <w:r w:rsidRPr="008125BC">
        <w:rPr>
          <w:spacing w:val="-2"/>
        </w:rPr>
        <w:t xml:space="preserve"> is a particularly important requirement for preventing societies from ageing unequally. </w:t>
      </w:r>
      <w:r w:rsidRPr="008125BC">
        <w:rPr>
          <w:spacing w:val="-2"/>
          <w:lang w:eastAsia="ko-KR"/>
        </w:rPr>
        <w:t xml:space="preserve">In the past, workers could expect to have only a few job changes during their career. Now, all workers are likely to switch jobs more frequently or at least adapt to frequently changing tasks. Upgrading and adapting skills will therefore be crucial for employment and earnings prospects. </w:t>
      </w:r>
      <w:r w:rsidRPr="008125BC">
        <w:rPr>
          <w:spacing w:val="-2"/>
        </w:rPr>
        <w:t>Yet, workforce groups at greater risk of labour market disadvantage – including older workers – receive less training, thereby compounding their disadvantage. This needs to change urgently as the failure to respond to these new challenges will risk creating an army of unemployable older workers.</w:t>
      </w:r>
    </w:p>
    <w:p w:rsidR="00473421" w:rsidRPr="005D112F" w:rsidRDefault="00473421" w:rsidP="0075163D">
      <w:pPr>
        <w:pStyle w:val="Textodecuerpo"/>
      </w:pPr>
      <w:r>
        <w:t>D</w:t>
      </w:r>
      <w:r w:rsidRPr="005D112F">
        <w:t xml:space="preserve">igitalisation </w:t>
      </w:r>
      <w:r>
        <w:t>can generate large welfare gains (including for example by expanding employment opportunities of workers suffering from some disability through telework), but</w:t>
      </w:r>
      <w:r w:rsidRPr="001E3EBA">
        <w:t xml:space="preserve"> </w:t>
      </w:r>
      <w:r w:rsidRPr="005D112F">
        <w:t xml:space="preserve">raises anxieties about potential job losses and technological unemployment </w:t>
      </w:r>
      <w:r>
        <w:t>which are particularly threatening for older generations</w:t>
      </w:r>
      <w:r w:rsidRPr="005D112F">
        <w:t xml:space="preserve"> (OECD, 2016</w:t>
      </w:r>
      <w:r>
        <w:t>e</w:t>
      </w:r>
      <w:r w:rsidRPr="005D112F">
        <w:t xml:space="preserve">). Many older people are less familiar with the use of digital technologies </w:t>
      </w:r>
      <w:r>
        <w:t>than their children and grandchildren,</w:t>
      </w:r>
      <w:r w:rsidRPr="005D112F">
        <w:t xml:space="preserve"> both at home and in the workplace. </w:t>
      </w:r>
      <w:r>
        <w:t>D</w:t>
      </w:r>
      <w:r w:rsidRPr="005D112F">
        <w:rPr>
          <w:lang w:eastAsia="ko-KR"/>
        </w:rPr>
        <w:t>ata from the OECD Survey of Adult Skills</w:t>
      </w:r>
      <w:r>
        <w:rPr>
          <w:lang w:eastAsia="ko-KR"/>
        </w:rPr>
        <w:t> </w:t>
      </w:r>
      <w:r w:rsidRPr="005D112F">
        <w:rPr>
          <w:lang w:eastAsia="ko-KR"/>
        </w:rPr>
        <w:t>(PIAAC) show that the use of these digital technologies at work differs significantly among age groups. For example, on average, only 27% of older workers (aged</w:t>
      </w:r>
      <w:r>
        <w:rPr>
          <w:lang w:eastAsia="ko-KR"/>
        </w:rPr>
        <w:t> </w:t>
      </w:r>
      <w:r w:rsidRPr="005D112F">
        <w:rPr>
          <w:lang w:eastAsia="ko-KR"/>
        </w:rPr>
        <w:t>55-64) use email or the Internet at work daily against 49% of prime age workers (aged</w:t>
      </w:r>
      <w:r>
        <w:rPr>
          <w:lang w:eastAsia="ko-KR"/>
        </w:rPr>
        <w:t> </w:t>
      </w:r>
      <w:r w:rsidRPr="005D112F">
        <w:rPr>
          <w:lang w:eastAsia="ko-KR"/>
        </w:rPr>
        <w:t xml:space="preserve">35-44). </w:t>
      </w:r>
      <w:r w:rsidRPr="005D112F">
        <w:t>Moreover, t</w:t>
      </w:r>
      <w:r w:rsidRPr="005D112F">
        <w:rPr>
          <w:lang w:eastAsia="ko-KR"/>
        </w:rPr>
        <w:t xml:space="preserve">he </w:t>
      </w:r>
      <w:r>
        <w:rPr>
          <w:lang w:eastAsia="ko-KR"/>
        </w:rPr>
        <w:t xml:space="preserve">age </w:t>
      </w:r>
      <w:r w:rsidRPr="005D112F">
        <w:rPr>
          <w:lang w:eastAsia="ko-KR"/>
        </w:rPr>
        <w:t>gap in the use of digital technologies increases with their complexity</w:t>
      </w:r>
      <w:r>
        <w:rPr>
          <w:lang w:eastAsia="ko-KR"/>
        </w:rPr>
        <w:t xml:space="preserve">; digitalisation is thus </w:t>
      </w:r>
      <w:r w:rsidRPr="005D112F">
        <w:t xml:space="preserve">likely to accelerate </w:t>
      </w:r>
      <w:r>
        <w:t xml:space="preserve">the </w:t>
      </w:r>
      <w:r w:rsidRPr="005D112F">
        <w:t>obsolescence of older workers</w:t>
      </w:r>
      <w:r>
        <w:t>’</w:t>
      </w:r>
      <w:r w:rsidRPr="005D112F">
        <w:t xml:space="preserve"> skills.</w:t>
      </w:r>
    </w:p>
    <w:p w:rsidR="00473421" w:rsidRPr="0026707C" w:rsidRDefault="00473421" w:rsidP="0075163D">
      <w:pPr>
        <w:pStyle w:val="Textodecuerpo"/>
      </w:pPr>
      <w:r>
        <w:rPr>
          <w:lang w:eastAsia="ko-KR"/>
        </w:rPr>
        <w:t>Data</w:t>
      </w:r>
      <w:r w:rsidRPr="005D112F">
        <w:rPr>
          <w:lang w:eastAsia="ko-KR"/>
        </w:rPr>
        <w:t xml:space="preserve"> for 2008-12 show that </w:t>
      </w:r>
      <w:r w:rsidRPr="005D112F">
        <w:t>work</w:t>
      </w:r>
      <w:r>
        <w:t>ers</w:t>
      </w:r>
      <w:r w:rsidRPr="005D112F">
        <w:t xml:space="preserve"> in more technology-intensive occupations </w:t>
      </w:r>
      <w:r>
        <w:t>had a lower</w:t>
      </w:r>
      <w:r w:rsidRPr="005D112F">
        <w:t xml:space="preserve"> risk of unemployment</w:t>
      </w:r>
      <w:r>
        <w:t>; however,</w:t>
      </w:r>
      <w:r w:rsidRPr="005D112F">
        <w:t xml:space="preserve"> older workers </w:t>
      </w:r>
      <w:r>
        <w:t>we</w:t>
      </w:r>
      <w:r w:rsidRPr="005D112F">
        <w:t>re less likely to be employed in these occupations</w:t>
      </w:r>
      <w:r w:rsidRPr="005D112F">
        <w:rPr>
          <w:lang w:eastAsia="ko-KR"/>
        </w:rPr>
        <w:t>.</w:t>
      </w:r>
      <w:r>
        <w:rPr>
          <w:lang w:eastAsia="ko-KR"/>
        </w:rPr>
        <w:t xml:space="preserve"> O</w:t>
      </w:r>
      <w:r w:rsidRPr="005D112F">
        <w:rPr>
          <w:lang w:eastAsia="ko-KR"/>
        </w:rPr>
        <w:t xml:space="preserve">lder workers </w:t>
      </w:r>
      <w:r>
        <w:rPr>
          <w:lang w:eastAsia="ko-KR"/>
        </w:rPr>
        <w:t>we</w:t>
      </w:r>
      <w:r w:rsidRPr="005D112F">
        <w:rPr>
          <w:lang w:eastAsia="ko-KR"/>
        </w:rPr>
        <w:t xml:space="preserve">re almost three times </w:t>
      </w:r>
      <w:r>
        <w:rPr>
          <w:lang w:eastAsia="ko-KR"/>
        </w:rPr>
        <w:t>more</w:t>
      </w:r>
      <w:r w:rsidRPr="005D112F">
        <w:rPr>
          <w:lang w:eastAsia="ko-KR"/>
        </w:rPr>
        <w:t xml:space="preserve"> likely to have lost their job</w:t>
      </w:r>
      <w:r>
        <w:rPr>
          <w:lang w:eastAsia="ko-KR"/>
        </w:rPr>
        <w:t xml:space="preserve"> than</w:t>
      </w:r>
      <w:r w:rsidRPr="005D112F">
        <w:rPr>
          <w:lang w:eastAsia="ko-KR"/>
        </w:rPr>
        <w:t xml:space="preserve"> younger workers in highly technology</w:t>
      </w:r>
      <w:r>
        <w:rPr>
          <w:lang w:eastAsia="ko-KR"/>
        </w:rPr>
        <w:t>-</w:t>
      </w:r>
      <w:r w:rsidRPr="005D112F">
        <w:rPr>
          <w:lang w:eastAsia="ko-KR"/>
        </w:rPr>
        <w:t>intense occupations</w:t>
      </w:r>
      <w:r>
        <w:rPr>
          <w:lang w:eastAsia="ko-KR"/>
        </w:rPr>
        <w:t xml:space="preserve">. But </w:t>
      </w:r>
      <w:r w:rsidRPr="005D112F">
        <w:rPr>
          <w:lang w:eastAsia="ko-KR"/>
        </w:rPr>
        <w:t>this ratio is</w:t>
      </w:r>
      <w:r>
        <w:rPr>
          <w:lang w:eastAsia="ko-KR"/>
        </w:rPr>
        <w:t> </w:t>
      </w:r>
      <w:r w:rsidRPr="005D112F">
        <w:rPr>
          <w:lang w:eastAsia="ko-KR"/>
        </w:rPr>
        <w:t xml:space="preserve">1.7 </w:t>
      </w:r>
      <w:r w:rsidRPr="005D112F">
        <w:t>“</w:t>
      </w:r>
      <w:r w:rsidRPr="005D112F">
        <w:rPr>
          <w:lang w:eastAsia="ko-KR"/>
        </w:rPr>
        <w:t>only</w:t>
      </w:r>
      <w:r w:rsidRPr="005D112F">
        <w:t>”</w:t>
      </w:r>
      <w:r w:rsidRPr="005D112F">
        <w:rPr>
          <w:lang w:eastAsia="ko-KR"/>
        </w:rPr>
        <w:t xml:space="preserve"> in low technology intense occupations. Overall, these results strengthen th</w:t>
      </w:r>
      <w:r w:rsidRPr="005D112F">
        <w:t>e</w:t>
      </w:r>
      <w:r w:rsidRPr="005D112F">
        <w:rPr>
          <w:lang w:eastAsia="ko-KR"/>
        </w:rPr>
        <w:t xml:space="preserve"> case for high-quality professional training, in particular </w:t>
      </w:r>
      <w:r>
        <w:rPr>
          <w:lang w:eastAsia="ko-KR"/>
        </w:rPr>
        <w:t>for older workers.</w:t>
      </w:r>
    </w:p>
    <w:p w:rsidR="00473421" w:rsidRDefault="00473421" w:rsidP="0075163D">
      <w:pPr>
        <w:pStyle w:val="Textodecuerpo"/>
      </w:pPr>
      <w:r w:rsidRPr="00091A91">
        <w:t xml:space="preserve">Some countries have targeted </w:t>
      </w:r>
      <w:r>
        <w:t xml:space="preserve">measures </w:t>
      </w:r>
      <w:r w:rsidRPr="00091A91">
        <w:t xml:space="preserve">at workers in their mid to late careers to improve access to lifelong learning and </w:t>
      </w:r>
      <w:r>
        <w:t xml:space="preserve">vocational education training, </w:t>
      </w:r>
      <w:r w:rsidRPr="00091A91">
        <w:t>includ</w:t>
      </w:r>
      <w:r>
        <w:t>ing</w:t>
      </w:r>
      <w:r w:rsidRPr="00091A91">
        <w:t xml:space="preserve"> programmes for upskilling specific groups, providing financial support, defining employee</w:t>
      </w:r>
      <w:r>
        <w:t>s</w:t>
      </w:r>
      <w:r w:rsidRPr="00091A91">
        <w:t>’ rights to training and introducing training leave schemes</w:t>
      </w:r>
      <w:r>
        <w:t>. T</w:t>
      </w:r>
      <w:r w:rsidRPr="00ED503F">
        <w:t xml:space="preserve">o </w:t>
      </w:r>
      <w:r>
        <w:t>promote</w:t>
      </w:r>
      <w:r w:rsidRPr="00ED503F">
        <w:t xml:space="preserve"> higher participation of older workers in non-routine jobs, lifelong learning programmes should be designed to strengthen skills </w:t>
      </w:r>
      <w:r>
        <w:t xml:space="preserve">for </w:t>
      </w:r>
      <w:r w:rsidRPr="00ED503F">
        <w:t>the completion of non-routine and non-manual tasks.</w:t>
      </w:r>
    </w:p>
    <w:p w:rsidR="00473421" w:rsidRDefault="00473421" w:rsidP="0075163D">
      <w:pPr>
        <w:pStyle w:val="Textodecuerpo"/>
      </w:pPr>
      <w:r>
        <w:t>For example, i</w:t>
      </w:r>
      <w:r w:rsidRPr="006333AA">
        <w:t>n Germany, the programme WeGebAU</w:t>
      </w:r>
      <w:r>
        <w:t>,</w:t>
      </w:r>
      <w:r w:rsidRPr="006333AA">
        <w:t xml:space="preserve"> </w:t>
      </w:r>
      <w:r>
        <w:t xml:space="preserve">launched in 2006, </w:t>
      </w:r>
      <w:r w:rsidRPr="006333AA">
        <w:t>financed by the Ministry of Labour and managed by the PES</w:t>
      </w:r>
      <w:r>
        <w:t>,</w:t>
      </w:r>
      <w:r w:rsidRPr="006333AA">
        <w:t xml:space="preserve"> promote</w:t>
      </w:r>
      <w:r>
        <w:t>s</w:t>
      </w:r>
      <w:r w:rsidRPr="006333AA">
        <w:t xml:space="preserve"> the upskilling of low-skilled workers and of workers </w:t>
      </w:r>
      <w:r>
        <w:t>from</w:t>
      </w:r>
      <w:r w:rsidRPr="006333AA">
        <w:t xml:space="preserve"> 45</w:t>
      </w:r>
      <w:r>
        <w:t> </w:t>
      </w:r>
      <w:r w:rsidRPr="006333AA">
        <w:t xml:space="preserve">years </w:t>
      </w:r>
      <w:r>
        <w:t>onwards (Singer and Toomet, 2013)</w:t>
      </w:r>
      <w:r w:rsidRPr="006333AA">
        <w:t>. Wages or training costs can be subsidised under the programme</w:t>
      </w:r>
      <w:r>
        <w:t>, and training t</w:t>
      </w:r>
      <w:r w:rsidRPr="006333AA">
        <w:t xml:space="preserve">ake-up has </w:t>
      </w:r>
      <w:r>
        <w:t>increased</w:t>
      </w:r>
      <w:r w:rsidRPr="006333AA">
        <w:t>. In Ireland, the Higher Education Authority in the Department of Education and Skills introduced the Springboard initiative in 2011.</w:t>
      </w:r>
      <w:r>
        <w:rPr>
          <w:rStyle w:val="Refdenotaalfinal"/>
        </w:rPr>
        <w:endnoteReference w:id="21"/>
      </w:r>
      <w:r w:rsidRPr="006333AA">
        <w:t xml:space="preserve"> </w:t>
      </w:r>
      <w:r>
        <w:t>This initiative</w:t>
      </w:r>
      <w:r w:rsidRPr="006333AA">
        <w:t xml:space="preserve"> provides free higher education opportunities for upskilling and reskilling in growth areas to unemployed citizens.</w:t>
      </w:r>
    </w:p>
    <w:p w:rsidR="00473421" w:rsidRDefault="00473421" w:rsidP="0075163D">
      <w:pPr>
        <w:pStyle w:val="Textodecuerpo"/>
      </w:pPr>
      <w:r w:rsidRPr="003579C7">
        <w:t xml:space="preserve">Skills acquired throughout working lives should </w:t>
      </w:r>
      <w:r>
        <w:t xml:space="preserve">also </w:t>
      </w:r>
      <w:r w:rsidRPr="003579C7">
        <w:t xml:space="preserve">be </w:t>
      </w:r>
      <w:r>
        <w:t xml:space="preserve">better recognised and </w:t>
      </w:r>
      <w:r w:rsidRPr="003579C7">
        <w:t xml:space="preserve">made visible. </w:t>
      </w:r>
      <w:r>
        <w:t>R</w:t>
      </w:r>
      <w:r w:rsidRPr="003579C7">
        <w:t xml:space="preserve">eliable procedures </w:t>
      </w:r>
      <w:r>
        <w:t xml:space="preserve">are needed </w:t>
      </w:r>
      <w:r w:rsidRPr="003579C7">
        <w:t xml:space="preserve">to assess and validate </w:t>
      </w:r>
      <w:r>
        <w:t>people’s</w:t>
      </w:r>
      <w:r w:rsidRPr="003579C7">
        <w:t xml:space="preserve"> skills and competencie</w:t>
      </w:r>
      <w:r>
        <w:t>s,</w:t>
      </w:r>
      <w:r w:rsidRPr="003579C7">
        <w:t xml:space="preserve"> to </w:t>
      </w:r>
      <w:r>
        <w:t xml:space="preserve">make skills </w:t>
      </w:r>
      <w:r w:rsidRPr="003579C7">
        <w:t xml:space="preserve">transparent to employers, </w:t>
      </w:r>
      <w:r>
        <w:t>and</w:t>
      </w:r>
      <w:r w:rsidRPr="003579C7">
        <w:t xml:space="preserve"> to establish a</w:t>
      </w:r>
      <w:r>
        <w:t xml:space="preserve"> baseline</w:t>
      </w:r>
      <w:r w:rsidRPr="003579C7">
        <w:t xml:space="preserve"> for further learning. In case of job loss, th</w:t>
      </w:r>
      <w:r>
        <w:t xml:space="preserve">is </w:t>
      </w:r>
      <w:r w:rsidRPr="003579C7">
        <w:t xml:space="preserve">can </w:t>
      </w:r>
      <w:r>
        <w:t>help</w:t>
      </w:r>
      <w:r w:rsidRPr="003579C7">
        <w:t xml:space="preserve"> workers find a </w:t>
      </w:r>
      <w:r>
        <w:t>matching</w:t>
      </w:r>
      <w:r w:rsidRPr="003579C7">
        <w:t xml:space="preserve"> job</w:t>
      </w:r>
      <w:r>
        <w:t xml:space="preserve">. </w:t>
      </w:r>
      <w:r w:rsidRPr="003579C7">
        <w:t>This is especially important for mid-career and older workers, whose initial qualifications may be outdated. Many of them have acquired new skills and competencies</w:t>
      </w:r>
      <w:r>
        <w:t xml:space="preserve"> in</w:t>
      </w:r>
      <w:r w:rsidRPr="003579C7">
        <w:t xml:space="preserve"> various work experiences, but most often </w:t>
      </w:r>
      <w:r>
        <w:t>lack</w:t>
      </w:r>
      <w:r w:rsidRPr="003579C7">
        <w:t xml:space="preserve"> certificates to prove it. </w:t>
      </w:r>
      <w:r>
        <w:t xml:space="preserve">Several countries can offer good examples: the Netherlands has an instrument to validate skills acquired on the job, the </w:t>
      </w:r>
      <w:r w:rsidRPr="008A5BB3">
        <w:rPr>
          <w:i/>
        </w:rPr>
        <w:t>Ervaringscertificaat</w:t>
      </w:r>
      <w:r>
        <w:t xml:space="preserve"> (Experience Certificate). Its use has increased through campaigns (television, radio and billboards), steady diffusion of a quality code for </w:t>
      </w:r>
      <w:r w:rsidRPr="003D72C1">
        <w:t>Accreditation of Prior Learning</w:t>
      </w:r>
      <w:r>
        <w:t> </w:t>
      </w:r>
      <w:r w:rsidRPr="003D72C1">
        <w:t>(APL)</w:t>
      </w:r>
      <w:r>
        <w:t>, and the development of regional partnerships for lifelong learning. The Certificate is also included as part of collective labour agreements in several sectors, and is paid for by a number of training and development funds.</w:t>
      </w:r>
      <w:r w:rsidRPr="008F1A44">
        <w:t xml:space="preserve"> Finland</w:t>
      </w:r>
      <w:r>
        <w:t xml:space="preserve"> launched</w:t>
      </w:r>
      <w:r w:rsidRPr="008F1A44">
        <w:t xml:space="preserve"> a new adult VET</w:t>
      </w:r>
      <w:r>
        <w:t> </w:t>
      </w:r>
      <w:r w:rsidRPr="008F1A44">
        <w:t>programme in 2014 for low</w:t>
      </w:r>
      <w:r>
        <w:t>-</w:t>
      </w:r>
      <w:r w:rsidRPr="008F1A44">
        <w:t>qualified adults aged</w:t>
      </w:r>
      <w:r>
        <w:t> </w:t>
      </w:r>
      <w:r w:rsidRPr="008F1A44">
        <w:t>30-50. Portugal, a country with a large share of low-skilled workers</w:t>
      </w:r>
      <w:r>
        <w:t>, launched the</w:t>
      </w:r>
      <w:r w:rsidRPr="008F1A44">
        <w:t xml:space="preserve"> New Opportunities Initiative</w:t>
      </w:r>
      <w:r>
        <w:t> </w:t>
      </w:r>
      <w:r w:rsidRPr="008F1A44">
        <w:t>(INO) in 2005</w:t>
      </w:r>
      <w:r>
        <w:t xml:space="preserve"> which offers</w:t>
      </w:r>
      <w:r w:rsidRPr="008F1A44">
        <w:t xml:space="preserve"> skills audit to all adults and assist</w:t>
      </w:r>
      <w:r>
        <w:t>s</w:t>
      </w:r>
      <w:r w:rsidRPr="008F1A44">
        <w:t xml:space="preserve"> in education and training or in recognition</w:t>
      </w:r>
      <w:r>
        <w:t xml:space="preserve"> and</w:t>
      </w:r>
      <w:r w:rsidRPr="008F1A44">
        <w:t xml:space="preserve"> validation of competenc</w:t>
      </w:r>
      <w:r>
        <w:t>i</w:t>
      </w:r>
      <w:r w:rsidRPr="008F1A44">
        <w:t>es.</w:t>
      </w:r>
    </w:p>
    <w:p w:rsidR="00473421" w:rsidRPr="003579C7" w:rsidRDefault="00473421" w:rsidP="0075163D">
      <w:pPr>
        <w:pStyle w:val="Ttulo4"/>
      </w:pPr>
      <w:r w:rsidRPr="003579C7">
        <w:t>Enhancing job quality for workers at all ages</w:t>
      </w:r>
    </w:p>
    <w:p w:rsidR="00473421" w:rsidRDefault="00473421" w:rsidP="0075163D">
      <w:pPr>
        <w:pStyle w:val="Textodecuerpo"/>
      </w:pPr>
      <w:r>
        <w:t xml:space="preserve">Working environments </w:t>
      </w:r>
      <w:r w:rsidRPr="001701F9">
        <w:t>have a profound impact on workers’ physical and mental health</w:t>
      </w:r>
      <w:r>
        <w:t>, and low SES workers typically suffer from worse work conditions</w:t>
      </w:r>
      <w:r w:rsidRPr="001701F9">
        <w:t>.</w:t>
      </w:r>
      <w:r>
        <w:t xml:space="preserve"> </w:t>
      </w:r>
      <w:r w:rsidRPr="001701F9">
        <w:t>Job quality influences people’s sense of engagement and well-being at work and beyond. Therefore, a broad-based strategy to enhance job quality could pay a triple dividend: better</w:t>
      </w:r>
      <w:r>
        <w:t>, healthier</w:t>
      </w:r>
      <w:r w:rsidRPr="001701F9">
        <w:t xml:space="preserve"> and longer working lives for individuals</w:t>
      </w:r>
      <w:r>
        <w:t>;</w:t>
      </w:r>
      <w:r w:rsidRPr="001701F9">
        <w:t xml:space="preserve"> </w:t>
      </w:r>
      <w:r>
        <w:t xml:space="preserve">more </w:t>
      </w:r>
      <w:r w:rsidRPr="001701F9">
        <w:t>productiv</w:t>
      </w:r>
      <w:r>
        <w:t>e</w:t>
      </w:r>
      <w:r w:rsidRPr="001701F9">
        <w:t xml:space="preserve"> workers for </w:t>
      </w:r>
      <w:r>
        <w:t>firms;</w:t>
      </w:r>
      <w:r w:rsidRPr="001701F9">
        <w:t xml:space="preserve"> and </w:t>
      </w:r>
      <w:r>
        <w:t xml:space="preserve">a </w:t>
      </w:r>
      <w:r w:rsidRPr="001701F9">
        <w:t xml:space="preserve">lower </w:t>
      </w:r>
      <w:r>
        <w:t xml:space="preserve">financial </w:t>
      </w:r>
      <w:r w:rsidRPr="001701F9">
        <w:t xml:space="preserve">burden on </w:t>
      </w:r>
      <w:r>
        <w:t>social protection</w:t>
      </w:r>
      <w:r w:rsidRPr="001701F9">
        <w:t xml:space="preserve"> systems</w:t>
      </w:r>
      <w:r>
        <w:t>.</w:t>
      </w:r>
    </w:p>
    <w:p w:rsidR="00473421" w:rsidRPr="006E765F" w:rsidRDefault="00473421" w:rsidP="0075163D">
      <w:pPr>
        <w:pStyle w:val="Textodecuerpo"/>
      </w:pPr>
      <w:r w:rsidRPr="006E765F">
        <w:t xml:space="preserve">While many </w:t>
      </w:r>
      <w:r>
        <w:t>aspects</w:t>
      </w:r>
      <w:r w:rsidRPr="006E765F">
        <w:t xml:space="preserve"> of working conditions and organisation primarily </w:t>
      </w:r>
      <w:r>
        <w:t>concern</w:t>
      </w:r>
      <w:r w:rsidRPr="006E765F">
        <w:t xml:space="preserve"> business, policies and institutions </w:t>
      </w:r>
      <w:r>
        <w:t xml:space="preserve">have a clear role to play to </w:t>
      </w:r>
      <w:r w:rsidRPr="006E765F">
        <w:t xml:space="preserve">improve them. These include regulations on working-time and safety at work, well-designed sickness schemes, </w:t>
      </w:r>
      <w:r>
        <w:t>and</w:t>
      </w:r>
      <w:r w:rsidRPr="006E765F">
        <w:t xml:space="preserve"> implementation bodies (e.g.</w:t>
      </w:r>
      <w:r>
        <w:t> </w:t>
      </w:r>
      <w:r w:rsidRPr="006E765F">
        <w:t xml:space="preserve">labour inspection bodies and occupational health care services) that </w:t>
      </w:r>
      <w:r>
        <w:t>give employers</w:t>
      </w:r>
      <w:r w:rsidRPr="006E765F">
        <w:t xml:space="preserve"> guidelines, run information campaigns</w:t>
      </w:r>
      <w:r>
        <w:t xml:space="preserve"> </w:t>
      </w:r>
      <w:r w:rsidRPr="006E765F">
        <w:t>and preventive actions</w:t>
      </w:r>
      <w:r>
        <w:t xml:space="preserve"> (OECD, 2016a)</w:t>
      </w:r>
      <w:r w:rsidRPr="006E765F">
        <w:t>.</w:t>
      </w:r>
    </w:p>
    <w:p w:rsidR="00473421" w:rsidRDefault="00473421" w:rsidP="0075163D">
      <w:pPr>
        <w:pStyle w:val="Textodecuerpo"/>
      </w:pPr>
      <w:r w:rsidRPr="00473D48">
        <w:t xml:space="preserve">In some countries, the social partners include age management in collective bargaining. </w:t>
      </w:r>
      <w:r>
        <w:t xml:space="preserve">In </w:t>
      </w:r>
      <w:r w:rsidRPr="00473D48">
        <w:t>Finland</w:t>
      </w:r>
      <w:r>
        <w:t>, a</w:t>
      </w:r>
      <w:r w:rsidRPr="00473D48">
        <w:t xml:space="preserve"> working group of social partners </w:t>
      </w:r>
      <w:r>
        <w:t xml:space="preserve">developed </w:t>
      </w:r>
      <w:r w:rsidRPr="00473D48">
        <w:t xml:space="preserve">the </w:t>
      </w:r>
      <w:r>
        <w:t>“</w:t>
      </w:r>
      <w:r w:rsidRPr="00473D48">
        <w:t>Job Life Cycle Model</w:t>
      </w:r>
      <w:r>
        <w:t xml:space="preserve">”, </w:t>
      </w:r>
      <w:r w:rsidRPr="00473D48">
        <w:t>a workplace age plan</w:t>
      </w:r>
      <w:r>
        <w:t xml:space="preserve"> including </w:t>
      </w:r>
      <w:r w:rsidRPr="00473D48">
        <w:t>seven central areas: age management; career</w:t>
      </w:r>
      <w:r>
        <w:t xml:space="preserve"> </w:t>
      </w:r>
      <w:r w:rsidRPr="00473D48">
        <w:t>planning and extending careers; managing competence and professional skills; flexible working hours; re-defining a job; health assessment i</w:t>
      </w:r>
      <w:r>
        <w:t>n</w:t>
      </w:r>
      <w:r w:rsidRPr="00473D48">
        <w:t xml:space="preserve"> the workplace and; promoting healthy habits and life management.</w:t>
      </w:r>
      <w:r>
        <w:rPr>
          <w:rStyle w:val="Refdenotaalfinal"/>
        </w:rPr>
        <w:endnoteReference w:id="22"/>
      </w:r>
      <w:r w:rsidRPr="00473D48">
        <w:t xml:space="preserve"> In Switzerland, the collective agreement for the construction industry finances arrangements for early retirement, however, at a higher age than the usual exit age in the sector. This motivates workers to stay for longer and employer</w:t>
      </w:r>
      <w:r>
        <w:t xml:space="preserve"> to</w:t>
      </w:r>
      <w:r w:rsidRPr="00473D48">
        <w:t xml:space="preserve"> improv</w:t>
      </w:r>
      <w:r>
        <w:t>e</w:t>
      </w:r>
      <w:r w:rsidRPr="00473D48">
        <w:t xml:space="preserve"> working conditions (OECD, 2014</w:t>
      </w:r>
      <w:r>
        <w:t>a</w:t>
      </w:r>
      <w:r w:rsidRPr="00473D48">
        <w:t xml:space="preserve">). </w:t>
      </w:r>
      <w:r>
        <w:t>The</w:t>
      </w:r>
      <w:r w:rsidRPr="00473D48">
        <w:t xml:space="preserve"> collective agreement “Lifelong Working Time and Demography” signed in the German chemical industry in 2008</w:t>
      </w:r>
      <w:r>
        <w:t xml:space="preserve"> includes </w:t>
      </w:r>
      <w:r w:rsidRPr="00473D48">
        <w:t>further training, the development of competences, work organisation and lifelong working time models.</w:t>
      </w:r>
    </w:p>
    <w:p w:rsidR="00473421" w:rsidRDefault="00473421" w:rsidP="0075163D">
      <w:pPr>
        <w:pStyle w:val="Textodecuerpo"/>
      </w:pPr>
      <w:r>
        <w:t xml:space="preserve">In emerging economies job quality is significantly impaired by inequalities in the levels of earnings, which are generally more than twice as high as in OECD countries (OECD, 2015d). Furthermore, while </w:t>
      </w:r>
      <w:r w:rsidRPr="00E079C7">
        <w:t>the risk</w:t>
      </w:r>
      <w:r w:rsidRPr="001C478F">
        <w:t xml:space="preserve"> of unemployment is close to the OECD average, </w:t>
      </w:r>
      <w:r>
        <w:t xml:space="preserve">one </w:t>
      </w:r>
      <w:r w:rsidRPr="001C478F">
        <w:t xml:space="preserve">important difference is the high risk </w:t>
      </w:r>
      <w:r>
        <w:t xml:space="preserve">in most of emerging economies </w:t>
      </w:r>
      <w:r w:rsidRPr="001C478F">
        <w:t xml:space="preserve">of falling into extreme low pay, especially for women. </w:t>
      </w:r>
      <w:r>
        <w:t>This is because w</w:t>
      </w:r>
      <w:r w:rsidRPr="001C478F">
        <w:t>orkers simply cannot afford to be unemployed</w:t>
      </w:r>
      <w:r>
        <w:t xml:space="preserve"> given </w:t>
      </w:r>
      <w:r w:rsidRPr="001C478F">
        <w:t>absen</w:t>
      </w:r>
      <w:r>
        <w:t>t</w:t>
      </w:r>
      <w:r w:rsidRPr="001C478F">
        <w:t xml:space="preserve"> (or weak) social </w:t>
      </w:r>
      <w:r>
        <w:t>protection</w:t>
      </w:r>
      <w:r w:rsidRPr="001C478F">
        <w:t xml:space="preserve">. </w:t>
      </w:r>
      <w:r>
        <w:t xml:space="preserve">Small </w:t>
      </w:r>
      <w:r w:rsidRPr="001C478F">
        <w:t xml:space="preserve">effective insurance for the unemployed translates into higher levels of labour market insecurity than in most OECD countries. </w:t>
      </w:r>
      <w:r w:rsidRPr="0057063D">
        <w:t>In countries where the risk of low-pay is significant, the ability of social protection to cushion earnings shocks is crucial</w:t>
      </w:r>
      <w:r>
        <w:t xml:space="preserve"> and needs to be </w:t>
      </w:r>
      <w:r w:rsidRPr="007E2118">
        <w:t>extended (OECD 2015d).</w:t>
      </w:r>
    </w:p>
    <w:p w:rsidR="00473421" w:rsidRPr="001C478F" w:rsidRDefault="00473421" w:rsidP="0075163D">
      <w:pPr>
        <w:pStyle w:val="Textodecuerpo"/>
      </w:pPr>
      <w:r>
        <w:t>I</w:t>
      </w:r>
      <w:r w:rsidRPr="001C478F">
        <w:t xml:space="preserve">n emerging economies the gap in job quality between formal and informal workers is </w:t>
      </w:r>
      <w:r>
        <w:t xml:space="preserve">substantial, which comes on top of large </w:t>
      </w:r>
      <w:r w:rsidRPr="001C478F">
        <w:t>share</w:t>
      </w:r>
      <w:r>
        <w:t>s</w:t>
      </w:r>
      <w:r w:rsidRPr="001C478F">
        <w:t xml:space="preserve"> of informal employment. Informal workers have lower earnings, they face a higher risk of extremely low-paying jobs and a higher probability of working very long hours.</w:t>
      </w:r>
      <w:r>
        <w:t xml:space="preserve"> In</w:t>
      </w:r>
      <w:r>
        <w:noBreakHyphen/>
        <w:t>depth analysis of t</w:t>
      </w:r>
      <w:r w:rsidRPr="007E2118">
        <w:t>he quality-gap between formal and informal jobs</w:t>
      </w:r>
      <w:r>
        <w:t xml:space="preserve"> would enable policy makers to better address </w:t>
      </w:r>
      <w:r w:rsidRPr="007E2118">
        <w:t xml:space="preserve">the </w:t>
      </w:r>
      <w:r>
        <w:t xml:space="preserve">determinants </w:t>
      </w:r>
      <w:r w:rsidRPr="007E2118">
        <w:t xml:space="preserve">of informality and </w:t>
      </w:r>
      <w:r>
        <w:t xml:space="preserve">to reduce </w:t>
      </w:r>
      <w:r w:rsidRPr="007E2118">
        <w:t>the welfare costs of segmented labour markets (OECD</w:t>
      </w:r>
      <w:r>
        <w:t>,</w:t>
      </w:r>
      <w:r w:rsidRPr="007E2118">
        <w:t xml:space="preserve"> 2015d).</w:t>
      </w:r>
    </w:p>
    <w:p w:rsidR="00473421" w:rsidRPr="008125BC" w:rsidRDefault="00473421" w:rsidP="0075163D">
      <w:pPr>
        <w:pStyle w:val="Textodecuerpo"/>
      </w:pPr>
      <w:r w:rsidRPr="008125BC">
        <w:t>Gradual withdrawal from the labour market through phased or partial retirement – possibly with changing responsibilities within the same company – can extend working life. Changes in responsibilities might include greater focus on training younger workers, for example. Phased retirement also makes it easier to take on caring responsibilities for older family members and grandchildren. By contrast, inflexible arrangements of pension systems sometimes result in coming back to a less attractive part-time job after having claimed the full pension. While the impact on income inequality is not straightforward, phased retirement should support older individuals, including those with low retirement income, by enhancing pension entitlements.</w:t>
      </w:r>
    </w:p>
    <w:p w:rsidR="00473421" w:rsidRPr="009B44F0" w:rsidRDefault="00473421" w:rsidP="0075163D">
      <w:pPr>
        <w:pStyle w:val="Textodecuerpo"/>
      </w:pPr>
      <w:r w:rsidRPr="00830003">
        <w:t>Policies could promote phased retirement in two ways. First, employers might be encouraged to design more flexible work arrangements to their employees. Second, pension systems should allow</w:t>
      </w:r>
      <w:r>
        <w:t xml:space="preserve"> or at least not penalise combining pensions and working longer at reduced hours in terms of retirement </w:t>
      </w:r>
      <w:r w:rsidRPr="009B44F0">
        <w:t xml:space="preserve">benefits. </w:t>
      </w:r>
      <w:r>
        <w:t xml:space="preserve">Promoting </w:t>
      </w:r>
      <w:r w:rsidRPr="009B44F0">
        <w:t xml:space="preserve">gradual withdrawal from </w:t>
      </w:r>
      <w:r>
        <w:t xml:space="preserve">the </w:t>
      </w:r>
      <w:r w:rsidRPr="009B44F0">
        <w:t xml:space="preserve">labour market without </w:t>
      </w:r>
      <w:r>
        <w:t>generat</w:t>
      </w:r>
      <w:r w:rsidRPr="009B44F0">
        <w:t xml:space="preserve">ing too early </w:t>
      </w:r>
      <w:r>
        <w:t xml:space="preserve">a </w:t>
      </w:r>
      <w:r w:rsidRPr="009B44F0">
        <w:t>switch to partial employment</w:t>
      </w:r>
      <w:r>
        <w:t xml:space="preserve"> </w:t>
      </w:r>
      <w:r w:rsidRPr="00FD5835">
        <w:t>remains a challenge</w:t>
      </w:r>
      <w:r>
        <w:t xml:space="preserve"> though</w:t>
      </w:r>
      <w:r w:rsidRPr="009B44F0">
        <w:t>.</w:t>
      </w:r>
    </w:p>
    <w:p w:rsidR="00473421" w:rsidRDefault="00473421" w:rsidP="0075163D">
      <w:pPr>
        <w:pStyle w:val="Textodecuerpo"/>
      </w:pPr>
      <w:r>
        <w:t>F</w:t>
      </w:r>
      <w:r w:rsidRPr="0027784B">
        <w:t>lexible working time arrangements to combin</w:t>
      </w:r>
      <w:r>
        <w:t>e</w:t>
      </w:r>
      <w:r w:rsidRPr="0027784B">
        <w:t xml:space="preserve"> work and care</w:t>
      </w:r>
      <w:r>
        <w:t>-</w:t>
      </w:r>
      <w:r w:rsidRPr="0027784B">
        <w:t xml:space="preserve">giving </w:t>
      </w:r>
      <w:r>
        <w:t xml:space="preserve">are becoming more frequent. </w:t>
      </w:r>
      <w:r w:rsidRPr="0027784B">
        <w:t xml:space="preserve">In Canada, </w:t>
      </w:r>
      <w:r>
        <w:t xml:space="preserve">under </w:t>
      </w:r>
      <w:r w:rsidRPr="0027784B">
        <w:t>the Employment Relations (Flexible Working Arrangements) Amendment Act of 2007 all employees w</w:t>
      </w:r>
      <w:r>
        <w:t>ith</w:t>
      </w:r>
      <w:r w:rsidRPr="0027784B">
        <w:t xml:space="preserve"> caring responsibilities </w:t>
      </w:r>
      <w:r>
        <w:t>have</w:t>
      </w:r>
      <w:r w:rsidRPr="0027784B">
        <w:t xml:space="preserve"> the right to request flexible working arrangements. In England, from 1</w:t>
      </w:r>
      <w:r>
        <w:t> </w:t>
      </w:r>
      <w:r w:rsidRPr="0027784B">
        <w:t>April</w:t>
      </w:r>
      <w:r>
        <w:t> </w:t>
      </w:r>
      <w:r w:rsidRPr="0027784B">
        <w:t>2015, the Care Act</w:t>
      </w:r>
      <w:r>
        <w:t> </w:t>
      </w:r>
      <w:r w:rsidRPr="0027784B">
        <w:t>2014 places new duties on local authorities to assess and support adult carers</w:t>
      </w:r>
      <w:r>
        <w:t xml:space="preserve"> to </w:t>
      </w:r>
      <w:r w:rsidRPr="0027784B">
        <w:t xml:space="preserve">maintain or re-enter employment and training, for example by </w:t>
      </w:r>
      <w:r>
        <w:t xml:space="preserve">helping to </w:t>
      </w:r>
      <w:r w:rsidRPr="0027784B">
        <w:t xml:space="preserve">ensure that the </w:t>
      </w:r>
      <w:r>
        <w:t>person they care for</w:t>
      </w:r>
      <w:r w:rsidRPr="0027784B">
        <w:t xml:space="preserve"> is looked after while they are at work.</w:t>
      </w:r>
      <w:r>
        <w:t xml:space="preserve"> These measures can help fight inequalities among older workers, in particular women, triggered by long-term care needs of family members and often resulting in employment, earnings and pension losses for the carers.</w:t>
      </w:r>
    </w:p>
    <w:p w:rsidR="00473421" w:rsidRDefault="00473421" w:rsidP="0075163D">
      <w:pPr>
        <w:pStyle w:val="Ttulo4"/>
      </w:pPr>
      <w:r>
        <w:t>Removing barriers to retain and hire older workers</w:t>
      </w:r>
    </w:p>
    <w:p w:rsidR="00473421" w:rsidRDefault="00473421" w:rsidP="0075163D">
      <w:pPr>
        <w:pStyle w:val="Textodecuerpo"/>
      </w:pPr>
      <w:r>
        <w:t xml:space="preserve">Several factors discourage </w:t>
      </w:r>
      <w:r w:rsidRPr="00FB4147">
        <w:t>employers from hir</w:t>
      </w:r>
      <w:r>
        <w:t>ing and retaining older workers,</w:t>
      </w:r>
      <w:r w:rsidRPr="00743838">
        <w:t xml:space="preserve"> </w:t>
      </w:r>
      <w:r>
        <w:t xml:space="preserve">especially the most vulnerable among them. </w:t>
      </w:r>
      <w:r w:rsidRPr="006F0BCB">
        <w:t>First, there needs to be a better match between the costs of employing older workers and their productivity</w:t>
      </w:r>
      <w:r>
        <w:t>, even though</w:t>
      </w:r>
      <w:r w:rsidRPr="00FB4147">
        <w:t xml:space="preserve"> seniority wage-setting has diminished in many countries. </w:t>
      </w:r>
      <w:r>
        <w:t>A</w:t>
      </w:r>
      <w:r w:rsidRPr="00405D8C">
        <w:t xml:space="preserve"> New Pay System</w:t>
      </w:r>
      <w:r>
        <w:t> </w:t>
      </w:r>
      <w:r w:rsidRPr="00405D8C">
        <w:t xml:space="preserve">(NPS) has been </w:t>
      </w:r>
      <w:r>
        <w:t xml:space="preserve">finalised </w:t>
      </w:r>
      <w:r w:rsidRPr="00405D8C">
        <w:t>for central government employees</w:t>
      </w:r>
      <w:r>
        <w:t xml:space="preserve"> in Finland</w:t>
      </w:r>
      <w:r w:rsidRPr="00405D8C">
        <w:rPr>
          <w:b/>
        </w:rPr>
        <w:t xml:space="preserve">. </w:t>
      </w:r>
      <w:r w:rsidRPr="00405D8C">
        <w:t>In 2008, the pay system was further developed through collective and sector agreements.</w:t>
      </w:r>
    </w:p>
    <w:p w:rsidR="00473421" w:rsidRDefault="00473421" w:rsidP="0075163D">
      <w:pPr>
        <w:pStyle w:val="Textodecuerpo"/>
      </w:pPr>
      <w:r w:rsidRPr="00FB4147">
        <w:t xml:space="preserve">Second, </w:t>
      </w:r>
      <w:r>
        <w:t xml:space="preserve">the desire to </w:t>
      </w:r>
      <w:r w:rsidRPr="00FB4147">
        <w:t>protect jobs of older workers</w:t>
      </w:r>
      <w:r>
        <w:t xml:space="preserve"> has to be balanced with the need to </w:t>
      </w:r>
      <w:r w:rsidRPr="00FB4147">
        <w:t>enhanc</w:t>
      </w:r>
      <w:r>
        <w:t>e</w:t>
      </w:r>
      <w:r w:rsidRPr="00FB4147">
        <w:t xml:space="preserve"> labour mobility</w:t>
      </w:r>
      <w:r>
        <w:t>,</w:t>
      </w:r>
      <w:r w:rsidRPr="00FB4147">
        <w:t xml:space="preserve"> both in terms of hiring </w:t>
      </w:r>
      <w:r>
        <w:t xml:space="preserve">of </w:t>
      </w:r>
      <w:r w:rsidRPr="00FB4147">
        <w:t>older job</w:t>
      </w:r>
      <w:r w:rsidR="009E08A4">
        <w:t xml:space="preserve"> </w:t>
      </w:r>
      <w:r w:rsidRPr="00FB4147">
        <w:t xml:space="preserve">seekers </w:t>
      </w:r>
      <w:r>
        <w:t>and of</w:t>
      </w:r>
      <w:r w:rsidRPr="00FB4147">
        <w:t xml:space="preserve"> job-to-job moves for older workers.</w:t>
      </w:r>
      <w:r>
        <w:t xml:space="preserve"> Special employment protection and unemployment benefit rules for older workers can be counterproductive. For example, policies that penalise firms for laying-off older workers can reduce hiring rates of older workers. Firms may also seek to avoid these penalties through various early retirement arrangements and schemes. </w:t>
      </w:r>
      <w:r w:rsidRPr="002F2A49">
        <w:t xml:space="preserve">In Poland, special </w:t>
      </w:r>
      <w:r>
        <w:t xml:space="preserve">employment protection </w:t>
      </w:r>
      <w:r w:rsidRPr="002F2A49">
        <w:t xml:space="preserve">rules </w:t>
      </w:r>
      <w:r>
        <w:t>are intended to limit the l</w:t>
      </w:r>
      <w:r w:rsidRPr="002F2A49">
        <w:t xml:space="preserve">ayoff </w:t>
      </w:r>
      <w:r>
        <w:t xml:space="preserve">of </w:t>
      </w:r>
      <w:r w:rsidRPr="002F2A49">
        <w:t>older workers with</w:t>
      </w:r>
      <w:r>
        <w:t xml:space="preserve"> </w:t>
      </w:r>
      <w:r w:rsidRPr="002F2A49">
        <w:t xml:space="preserve">less than four years remaining until retirement age. </w:t>
      </w:r>
      <w:r>
        <w:t xml:space="preserve">According to </w:t>
      </w:r>
      <w:r w:rsidRPr="002F2A49">
        <w:t>Kryńska et al. (2013)</w:t>
      </w:r>
      <w:r>
        <w:t xml:space="preserve">, </w:t>
      </w:r>
      <w:r w:rsidRPr="002F2A49">
        <w:t>employers refrain from recruiting</w:t>
      </w:r>
      <w:r>
        <w:t xml:space="preserve"> </w:t>
      </w:r>
      <w:r w:rsidRPr="002F2A49">
        <w:t xml:space="preserve">people soon to be </w:t>
      </w:r>
      <w:r>
        <w:t>“</w:t>
      </w:r>
      <w:r w:rsidRPr="002F2A49">
        <w:t>protected</w:t>
      </w:r>
      <w:r>
        <w:t>”</w:t>
      </w:r>
      <w:r w:rsidRPr="002F2A49">
        <w:t xml:space="preserve"> by this regulation.</w:t>
      </w:r>
      <w:r>
        <w:t xml:space="preserve"> According to Cahuc et al. </w:t>
      </w:r>
      <w:r w:rsidRPr="00E47275">
        <w:t xml:space="preserve">(2016), </w:t>
      </w:r>
      <w:r>
        <w:t xml:space="preserve">a longer </w:t>
      </w:r>
      <w:r w:rsidRPr="002F2A49">
        <w:t xml:space="preserve">unemployment insurance </w:t>
      </w:r>
      <w:r>
        <w:t>period</w:t>
      </w:r>
      <w:r w:rsidRPr="002F2A49">
        <w:t xml:space="preserve"> after age</w:t>
      </w:r>
      <w:r>
        <w:t> </w:t>
      </w:r>
      <w:r w:rsidRPr="002F2A49">
        <w:t>50 in France ha</w:t>
      </w:r>
      <w:r>
        <w:t>s</w:t>
      </w:r>
      <w:r w:rsidRPr="002F2A49">
        <w:t xml:space="preserve"> created a disguised form of early retirement and a rising trend </w:t>
      </w:r>
      <w:r>
        <w:t xml:space="preserve">in the subsidised </w:t>
      </w:r>
      <w:r w:rsidRPr="002F2A49">
        <w:t xml:space="preserve">termination </w:t>
      </w:r>
      <w:r>
        <w:t>of employment contracts by mutual agreement (“rupture conventionnelle”) after the age of 58. Ultimately, older workers are best served by efforts to improve their employability and increase the range of job opportunities more generally.</w:t>
      </w:r>
    </w:p>
    <w:p w:rsidR="00473421" w:rsidRPr="008728E3" w:rsidRDefault="00473421" w:rsidP="0075163D">
      <w:pPr>
        <w:pStyle w:val="Ttulo3"/>
      </w:pPr>
      <w:r w:rsidRPr="008728E3">
        <w:t>Coping with inequality at older ages</w:t>
      </w:r>
    </w:p>
    <w:p w:rsidR="00473421" w:rsidRDefault="00473421" w:rsidP="0075163D">
      <w:pPr>
        <w:pStyle w:val="Textodecuerpo"/>
      </w:pPr>
      <w:r w:rsidRPr="008B7D52">
        <w:t xml:space="preserve">The third set of policies to prevent ageing unequally focuses on reduction of inequalities in old-age pensions and long-term care. Its main objectives are to avoid old-age poverty, limit retirement income inequality and inequality in living standards and well-being of the elderly by: providing adequate old-age pensions and social assistance in a financially sustainable way; </w:t>
      </w:r>
      <w:r>
        <w:t>d</w:t>
      </w:r>
      <w:r w:rsidRPr="008B7D52">
        <w:t>eveloping age-friendly environments</w:t>
      </w:r>
      <w:r>
        <w:t xml:space="preserve">; </w:t>
      </w:r>
      <w:r w:rsidRPr="008B7D52">
        <w:t>providing affordable good-quality long-term care: and strengthening support for informal carers, who are often themselves aged.</w:t>
      </w:r>
    </w:p>
    <w:p w:rsidR="00473421" w:rsidRPr="004D47DC" w:rsidRDefault="00473421" w:rsidP="0075163D">
      <w:pPr>
        <w:pStyle w:val="Textodecuerpo"/>
      </w:pPr>
      <w:r w:rsidRPr="004D47DC">
        <w:t>Over past decades, most OECD countries have been reforming their pension systems (see OECD</w:t>
      </w:r>
      <w:r>
        <w:t>,</w:t>
      </w:r>
      <w:r w:rsidRPr="004D47DC">
        <w:t xml:space="preserve"> 2015</w:t>
      </w:r>
      <w:r>
        <w:t>b</w:t>
      </w:r>
      <w:r w:rsidRPr="004D47DC">
        <w:t>). Reforms mainly aimed to improve the financial sustainability of pension systems</w:t>
      </w:r>
      <w:r>
        <w:t xml:space="preserve"> in light of </w:t>
      </w:r>
      <w:r w:rsidRPr="004D47DC">
        <w:t xml:space="preserve">demographic changes. </w:t>
      </w:r>
      <w:r>
        <w:t>As a result</w:t>
      </w:r>
      <w:r w:rsidRPr="004D47DC">
        <w:t>, replacement rates have been reduced and pension benefits more closely aligned to earnings history, e.g. through the development of defined contribution</w:t>
      </w:r>
      <w:r>
        <w:t> </w:t>
      </w:r>
      <w:r w:rsidRPr="004D47DC">
        <w:t>(DC) or notional defined contribution</w:t>
      </w:r>
      <w:r>
        <w:t> </w:t>
      </w:r>
      <w:r w:rsidRPr="004D47DC">
        <w:t xml:space="preserve">(NDC) schemes, with less pooling and lower redistribution to low-income contributors (OECD, 2015b; Quesnel-Vallee et al., 2015). </w:t>
      </w:r>
      <w:r>
        <w:t>C</w:t>
      </w:r>
      <w:r w:rsidRPr="004D47DC">
        <w:t>loser contribution-benefit links tend to increase the transmission of wage inequality to retirement income inequality</w:t>
      </w:r>
      <w:r>
        <w:t xml:space="preserve"> as the capacity of individuals to contribute will be reflected in the pensions they receive</w:t>
      </w:r>
      <w:r w:rsidRPr="004D47DC">
        <w:t>. More recently, concerns about retirement income adequacy and prevention of poverty among retirees have been gaining traction</w:t>
      </w:r>
      <w:r>
        <w:t xml:space="preserve"> in public policy debates</w:t>
      </w:r>
      <w:r w:rsidRPr="004D47DC">
        <w:t>.</w:t>
      </w:r>
    </w:p>
    <w:p w:rsidR="00473421" w:rsidRPr="007A39D0" w:rsidRDefault="00473421" w:rsidP="0075163D">
      <w:pPr>
        <w:pStyle w:val="Ttulo4"/>
      </w:pPr>
      <w:r>
        <w:t>Effects of higher retirement ages on inequalities</w:t>
      </w:r>
    </w:p>
    <w:p w:rsidR="00473421" w:rsidRDefault="00473421" w:rsidP="0075163D">
      <w:pPr>
        <w:pStyle w:val="Textodecuerpo"/>
      </w:pPr>
      <w:r>
        <w:t>Many OECD countries have mechanisms in place to increase the retirement age in line with life-expectancy gains in order meet the twin goal of pension adequacy and financial sustainability of pension systems (OECD, 2015b; 2016f). These reforms raises three main issues with respect to their impact on inequalities due to the substantial socio</w:t>
      </w:r>
      <w:r w:rsidR="00B54C38">
        <w:t>-</w:t>
      </w:r>
      <w:r>
        <w:t>economic differences in life expectancy discussed above.</w:t>
      </w:r>
    </w:p>
    <w:p w:rsidR="00473421" w:rsidRPr="00235976" w:rsidRDefault="00473421" w:rsidP="0075163D">
      <w:pPr>
        <w:pStyle w:val="Textodecuerpo"/>
      </w:pPr>
      <w:r>
        <w:t>The first issue is about the healthy or unhealthy years added</w:t>
      </w:r>
      <w:r w:rsidRPr="00235976">
        <w:t xml:space="preserve"> to the life</w:t>
      </w:r>
      <w:r w:rsidR="00D00253">
        <w:t xml:space="preserve"> </w:t>
      </w:r>
      <w:r w:rsidRPr="00235976">
        <w:t>span and what this means for people’s capacities to work until higher retirement ages. If growing life expectancy were mostly adding unhealthy years, higher retirement ages would indeed mean that workers would be forced to retire earlier</w:t>
      </w:r>
      <w:r>
        <w:t xml:space="preserve"> than the new normal pension age</w:t>
      </w:r>
      <w:r w:rsidRPr="00235976">
        <w:t>, generally with reduced benefits. The data, however, show that the share of healthy years in the steadily growing life duration expected at birth, at age</w:t>
      </w:r>
      <w:r>
        <w:t> </w:t>
      </w:r>
      <w:r w:rsidRPr="00235976">
        <w:t>50, or at age</w:t>
      </w:r>
      <w:r>
        <w:t> </w:t>
      </w:r>
      <w:r w:rsidRPr="00235976">
        <w:t>65 has been relatively stable over time</w:t>
      </w:r>
      <w:r>
        <w:t xml:space="preserve"> – although it declined slightly over the past decade –</w:t>
      </w:r>
      <w:r w:rsidRPr="00235976">
        <w:t xml:space="preserve"> suggesting that rising longevity also increase</w:t>
      </w:r>
      <w:r>
        <w:t>s</w:t>
      </w:r>
      <w:r w:rsidRPr="00235976">
        <w:t xml:space="preserve"> people’s work capacity at a given age.</w:t>
      </w:r>
    </w:p>
    <w:p w:rsidR="00473421" w:rsidRDefault="00473421" w:rsidP="0075163D">
      <w:pPr>
        <w:pStyle w:val="Textodecuerpo"/>
      </w:pPr>
      <w:r>
        <w:t xml:space="preserve">The second issue is whether inequalities are exacerbated by pension rules given that poorer groups die younger than their richer peers. It is often argued that increasing the retirement age is regressive. This is indeed the case: as low-income workers tend to have shorter lives, a one-year increase in the retirement age represents a larger proportional cut in their total pension benefits paid during retirement than it does for higher-income people. As shown above </w:t>
      </w:r>
      <w:r w:rsidRPr="004A7C68">
        <w:t xml:space="preserve">though, </w:t>
      </w:r>
      <w:r w:rsidRPr="00AB5048">
        <w:t>this effect is quantitatively small</w:t>
      </w:r>
      <w:r>
        <w:t>: i</w:t>
      </w:r>
      <w:r w:rsidRPr="00984956">
        <w:t xml:space="preserve">f retirement ages were increased by </w:t>
      </w:r>
      <w:r>
        <w:t>three </w:t>
      </w:r>
      <w:r w:rsidRPr="00984956">
        <w:t>years between 2015 and 2060</w:t>
      </w:r>
      <w:r>
        <w:t xml:space="preserve"> – life expectancy at 65 years is projected to increase by 4.2 years on average –</w:t>
      </w:r>
      <w:r w:rsidRPr="00984956">
        <w:t xml:space="preserve"> the </w:t>
      </w:r>
      <w:r>
        <w:t xml:space="preserve">total </w:t>
      </w:r>
      <w:r w:rsidRPr="00984956">
        <w:t xml:space="preserve">pension </w:t>
      </w:r>
      <w:r>
        <w:t xml:space="preserve">benefits </w:t>
      </w:r>
      <w:r w:rsidRPr="00984956">
        <w:t>of low-</w:t>
      </w:r>
      <w:r>
        <w:t>educated</w:t>
      </w:r>
      <w:r w:rsidRPr="00984956">
        <w:t xml:space="preserve"> </w:t>
      </w:r>
      <w:r>
        <w:t xml:space="preserve">retirees relative to those of the </w:t>
      </w:r>
      <w:r w:rsidRPr="00984956">
        <w:t>high</w:t>
      </w:r>
      <w:r>
        <w:t>ly educated</w:t>
      </w:r>
      <w:r w:rsidRPr="00984956">
        <w:t xml:space="preserve"> groups would be reduced by 2.2%.</w:t>
      </w:r>
    </w:p>
    <w:p w:rsidR="00473421" w:rsidRDefault="00473421" w:rsidP="0075163D">
      <w:pPr>
        <w:pStyle w:val="Textodecuerpo"/>
      </w:pPr>
      <w:r>
        <w:t>The third and main reason why a higher retirement age might be regressive is grounded in fewer employment opportunities for more disadvantaged older workers. This is a major challenge for policy makers, but it does not mean that a higher retirement age is an inadequate policy. Instead, it underlines the crucial importance of improving the situation and opportunities of older workers through inclusive labour market policies for older ages.</w:t>
      </w:r>
    </w:p>
    <w:p w:rsidR="00473421" w:rsidRPr="00D32517" w:rsidRDefault="00473421" w:rsidP="0075163D">
      <w:pPr>
        <w:pStyle w:val="Textodecuerpo"/>
      </w:pPr>
      <w:r>
        <w:t>Most pension arrangements do not take these life-expectancy differences into account. The rules of defined-benefit (DB) pension schemes and the way annuity markets and insurance companies work in defined-contribution (DC) schemes typically disregard inequalities in life expectancy. Most use a uniform benefit accrual rate in DB schemes and common mortality tables when converting assets from DC schemes into pension annuities, despite the fact that people’s remaining life years are different.</w:t>
      </w:r>
      <w:r>
        <w:rPr>
          <w:rStyle w:val="Refdenotaalfinal"/>
        </w:rPr>
        <w:endnoteReference w:id="23"/>
      </w:r>
      <w:r>
        <w:t xml:space="preserve"> </w:t>
      </w:r>
      <w:r w:rsidRPr="00533553">
        <w:t xml:space="preserve">This means that </w:t>
      </w:r>
      <w:r>
        <w:t xml:space="preserve">a pure DC scheme, for example, which is </w:t>
      </w:r>
      <w:r w:rsidRPr="00533553">
        <w:t xml:space="preserve">a priori </w:t>
      </w:r>
      <w:r>
        <w:t xml:space="preserve">regarded as </w:t>
      </w:r>
      <w:r w:rsidRPr="00533553">
        <w:t>distribution-neutral</w:t>
      </w:r>
      <w:r>
        <w:t>,</w:t>
      </w:r>
      <w:r w:rsidRPr="00533553">
        <w:t xml:space="preserve"> is in fact regressive</w:t>
      </w:r>
      <w:r>
        <w:t>. People with shorter life expectancies receive – for shorter periods</w:t>
      </w:r>
      <w:r w:rsidR="002F4F69">
        <w:t> –</w:t>
      </w:r>
      <w:r>
        <w:t xml:space="preserve"> lower benefits than their individual situation would warrant, thus subsidising those who get paid higher pensions for a longer period.</w:t>
      </w:r>
    </w:p>
    <w:p w:rsidR="00473421" w:rsidRDefault="00473421" w:rsidP="0075163D">
      <w:pPr>
        <w:pStyle w:val="Textodecuerpo"/>
      </w:pPr>
      <w:r>
        <w:t>Pension policy measures to take account of socio</w:t>
      </w:r>
      <w:r w:rsidR="00B54C38">
        <w:t>-</w:t>
      </w:r>
      <w:r>
        <w:t xml:space="preserve">economic differences in life expectancy could target the benefit formula (granting higher accrual rates for low earnings, as applied in Portugal), the level of contribution rates (increasing with income such as in Brazil) or through a higher wage ceiling for contributions than for pension entitlements. In DC schemes, the annuity factors for conversion of assets into a pension benefit could be set in ways that increase pensions for people with low pensionable income (who die earlier on average) while people with high pensionable income (who die later on average) would receive lower benefits. The United Kingdom introduced a rare example of this through private “enhanced annuities” (OECD, 2016g): </w:t>
      </w:r>
      <w:r w:rsidRPr="00673A8C">
        <w:t>higher annuit</w:t>
      </w:r>
      <w:r>
        <w:t>ies</w:t>
      </w:r>
      <w:r w:rsidRPr="00673A8C">
        <w:t xml:space="preserve"> </w:t>
      </w:r>
      <w:r>
        <w:t xml:space="preserve">are paid for the same accumulated pension assets </w:t>
      </w:r>
      <w:r w:rsidRPr="00673A8C">
        <w:t xml:space="preserve">to </w:t>
      </w:r>
      <w:r>
        <w:t xml:space="preserve">people with </w:t>
      </w:r>
      <w:r w:rsidRPr="00673A8C">
        <w:t xml:space="preserve">certain health or behavioural factors which are </w:t>
      </w:r>
      <w:r>
        <w:t>associated</w:t>
      </w:r>
      <w:r w:rsidRPr="00673A8C">
        <w:t xml:space="preserve"> with lower life expectanc</w:t>
      </w:r>
      <w:r>
        <w:t>y</w:t>
      </w:r>
      <w:r w:rsidRPr="00673A8C">
        <w:t>, such as smoking, obesity or cardiovascular disease, and which are more prevalent in lower socio-economic groups</w:t>
      </w:r>
      <w:r>
        <w:t>. OECD (2016f) calls for more accurate mortality data by socio-economic groups so that higher benefits could be offered to people with higher health risks. Schemes “rewarding” risky behaviours should be designed carefully though</w:t>
      </w:r>
      <w:r w:rsidRPr="00673A8C">
        <w:t>.</w:t>
      </w:r>
    </w:p>
    <w:p w:rsidR="00473421" w:rsidRDefault="00473421" w:rsidP="00DF4C8D">
      <w:pPr>
        <w:pStyle w:val="Ttulo4"/>
        <w:spacing w:before="180"/>
      </w:pPr>
      <w:r>
        <w:t>Voluntary pensions are typically subsidised, which tends to be regressive</w:t>
      </w:r>
    </w:p>
    <w:p w:rsidR="00473421" w:rsidRPr="00DF4C8D" w:rsidRDefault="00473421" w:rsidP="0075163D">
      <w:pPr>
        <w:pStyle w:val="Textodecuerpo"/>
        <w:rPr>
          <w:spacing w:val="-2"/>
        </w:rPr>
      </w:pPr>
      <w:r w:rsidRPr="00DF4C8D">
        <w:rPr>
          <w:spacing w:val="-2"/>
        </w:rPr>
        <w:t>Contributions to public pension systems are exempt from taxation while pension benefits are taxed upon receipt. This mechanism generates tax advantages as marginal taxes on earnings are typically higher than those applying to pension benefits. Beyond the specificities of the tax structure, the amount of these tax advantages is larger, the larger the contributions, and therefore the larger the earnings. Private pensions also generally are tax-advantaged and, depending on the specific schemes, this can benefit high-income more than low-income earners, such as in Chile, Denmark, Israel or Switzerland (OECD, 2016f).</w:t>
      </w:r>
    </w:p>
    <w:p w:rsidR="00473421" w:rsidRDefault="00473421" w:rsidP="0075163D">
      <w:pPr>
        <w:pStyle w:val="Textodecuerpo"/>
      </w:pPr>
      <w:r>
        <w:t>Voluntary pensions are savings that are earmarked for retirement. The positive side is that they rely on individual choices, which could improve welfare. This advantage has to be tempered by income adequacy risks for those who “choose” not to be covered, especially given the social gradient of that “choice”. Due to higher savings capacity and financial literacy among advantaged socio-economic groups, voluntary pension coverage is heavily biased in favour of workers with high earnings. Voluntary pensions might therefore magnify the tax exemptions which benefit the better-off in mandatory schemes, and as a result tend to increase old-age inequality.</w:t>
      </w:r>
    </w:p>
    <w:p w:rsidR="00473421" w:rsidRDefault="00473421" w:rsidP="0075163D">
      <w:pPr>
        <w:pStyle w:val="Textodecuerpo"/>
      </w:pPr>
      <w:r>
        <w:t>W</w:t>
      </w:r>
      <w:r w:rsidRPr="006866CA">
        <w:t xml:space="preserve">here replacement rates from mandatory </w:t>
      </w:r>
      <w:r>
        <w:t xml:space="preserve">pension </w:t>
      </w:r>
      <w:r w:rsidRPr="006866CA">
        <w:t>schemes are low, increasing the mandatory component would be preferable t</w:t>
      </w:r>
      <w:r>
        <w:t xml:space="preserve">o </w:t>
      </w:r>
      <w:r w:rsidRPr="006866CA">
        <w:t>subsidi</w:t>
      </w:r>
      <w:r>
        <w:t>sing</w:t>
      </w:r>
      <w:r w:rsidRPr="006866CA">
        <w:t xml:space="preserve"> voluntary </w:t>
      </w:r>
      <w:r>
        <w:t xml:space="preserve">private </w:t>
      </w:r>
      <w:r w:rsidRPr="006866CA">
        <w:t xml:space="preserve">schemes. </w:t>
      </w:r>
      <w:r>
        <w:t>Moreover</w:t>
      </w:r>
      <w:r w:rsidRPr="006866CA">
        <w:t>, these subsidies should be limited</w:t>
      </w:r>
      <w:r>
        <w:t>, with v</w:t>
      </w:r>
      <w:r w:rsidRPr="006866CA">
        <w:t xml:space="preserve">oluntary pensions </w:t>
      </w:r>
      <w:r>
        <w:t>being instead</w:t>
      </w:r>
      <w:r w:rsidRPr="006866CA">
        <w:t xml:space="preserve"> subject to the standard taxation of savings instruments, with well-designed auto-enrolment schemes (OECD, 2014</w:t>
      </w:r>
      <w:r>
        <w:t>b</w:t>
      </w:r>
      <w:r w:rsidRPr="006866CA">
        <w:t>). When coverage is low, providing incentives, through targeted matching contributions or a flat introductory bonus contribution, should encourage participation of low-income earners.</w:t>
      </w:r>
      <w:r>
        <w:t xml:space="preserve"> In New Zealand the auto-enrolment KiwiSaver scheme promised a temporary flat rate payment to all new members as an incentive and over 70% of those enrolled have remained within the scheme. In the auto-enrolment scheme in the United Kingdom the government pays 25% of the minimum employee contribution as a bonus, which will equal 1% of qualifying earnings from April 2019. Riester pensions in Germany have provided subsidies and taxed deductions based on marital status and family composition, which have been successful in persuading families to contribute, but less so for lower earners – even though participation in Riester plans is less skewed towards the high-income than other occupational and private plans in the country (Börsch-Supan et al., 2012). Overall, improving financial literacy would contribute to expand coverage, and is likely to reduce inequality.</w:t>
      </w:r>
    </w:p>
    <w:p w:rsidR="00473421" w:rsidRPr="00BE06E1" w:rsidRDefault="00473421" w:rsidP="00DF4C8D">
      <w:pPr>
        <w:pStyle w:val="Ttulo4"/>
        <w:spacing w:before="180"/>
      </w:pPr>
      <w:r>
        <w:t>Redistribution in pension systems to protect retirees at risk</w:t>
      </w:r>
    </w:p>
    <w:p w:rsidR="00473421" w:rsidRDefault="00473421" w:rsidP="0075163D">
      <w:pPr>
        <w:pStyle w:val="Textodecuerpo"/>
      </w:pPr>
      <w:r>
        <w:t xml:space="preserve">In most countries, the most extreme retirement income adequacy risks and prevention of old-age poverty are addressed through </w:t>
      </w:r>
      <w:r w:rsidRPr="00A71B67">
        <w:t xml:space="preserve">first-tier </w:t>
      </w:r>
      <w:r>
        <w:t xml:space="preserve">safety-net </w:t>
      </w:r>
      <w:r w:rsidRPr="00A71B67">
        <w:t xml:space="preserve">pensions. OECD (2015b) </w:t>
      </w:r>
      <w:r>
        <w:t>identifies</w:t>
      </w:r>
      <w:r w:rsidRPr="00A71B67">
        <w:t xml:space="preserve"> significant scope </w:t>
      </w:r>
      <w:r>
        <w:t>for benefit improvement in</w:t>
      </w:r>
      <w:r w:rsidRPr="00A71B67">
        <w:t xml:space="preserve"> </w:t>
      </w:r>
      <w:r>
        <w:t>several</w:t>
      </w:r>
      <w:r w:rsidRPr="00A71B67">
        <w:t xml:space="preserve"> countries </w:t>
      </w:r>
      <w:r>
        <w:t>with</w:t>
      </w:r>
      <w:r w:rsidRPr="00A71B67">
        <w:t xml:space="preserve"> high old-age poverty rates and low safety-net benefits, even</w:t>
      </w:r>
      <w:r>
        <w:t xml:space="preserve"> in relatively less affluent countries, such as </w:t>
      </w:r>
      <w:r w:rsidRPr="00A71B67">
        <w:t>Chile, Korea, Mexico and Turkey</w:t>
      </w:r>
      <w:r>
        <w:t>,</w:t>
      </w:r>
      <w:r w:rsidRPr="00A71B67">
        <w:t xml:space="preserve"> but also </w:t>
      </w:r>
      <w:r>
        <w:t>in</w:t>
      </w:r>
      <w:r w:rsidRPr="00A71B67">
        <w:t xml:space="preserve"> </w:t>
      </w:r>
      <w:r>
        <w:t xml:space="preserve">high-income countries like </w:t>
      </w:r>
      <w:r w:rsidRPr="00A71B67">
        <w:t xml:space="preserve">Switzerland and the United States. Moreover, </w:t>
      </w:r>
      <w:r>
        <w:t xml:space="preserve">many countries increase </w:t>
      </w:r>
      <w:r w:rsidRPr="00A71B67">
        <w:t xml:space="preserve">first-tier pensions </w:t>
      </w:r>
      <w:r>
        <w:t>in line with prices, meaning that retirees will increasingly lag behind workers’ living standards</w:t>
      </w:r>
      <w:r w:rsidRPr="00A71B67">
        <w:t xml:space="preserve">, </w:t>
      </w:r>
      <w:r>
        <w:t>especially the very old, who are often women.</w:t>
      </w:r>
    </w:p>
    <w:p w:rsidR="00473421" w:rsidRPr="002D6DA6" w:rsidRDefault="00473421" w:rsidP="0075163D">
      <w:pPr>
        <w:pStyle w:val="Textodecuerpo"/>
      </w:pPr>
      <w:r w:rsidRPr="002D6DA6">
        <w:t>Low-income workers</w:t>
      </w:r>
      <w:r>
        <w:t>, even when they contribute for a full career,</w:t>
      </w:r>
      <w:r w:rsidRPr="002D6DA6">
        <w:t xml:space="preserve"> are at particular risk of old-age poverty in Mexico, Chile, the United Kingdom, Japan, Germany, Poland, the United States, Sweden</w:t>
      </w:r>
      <w:r>
        <w:t>,</w:t>
      </w:r>
      <w:r w:rsidRPr="002D6DA6">
        <w:t xml:space="preserve"> Slovenia</w:t>
      </w:r>
      <w:r>
        <w:t xml:space="preserve"> and Canada</w:t>
      </w:r>
      <w:r w:rsidRPr="002D6DA6">
        <w:t xml:space="preserve">. </w:t>
      </w:r>
      <w:r>
        <w:t>In t</w:t>
      </w:r>
      <w:r w:rsidRPr="002D6DA6">
        <w:t>hese countries</w:t>
      </w:r>
      <w:r>
        <w:t xml:space="preserve">, workers earning half the average wage will receive </w:t>
      </w:r>
      <w:r w:rsidRPr="002D6DA6">
        <w:t>net replacement rates below 60%</w:t>
      </w:r>
      <w:r>
        <w:t xml:space="preserve">, i.e. less than a third of </w:t>
      </w:r>
      <w:r w:rsidRPr="002D6DA6">
        <w:t>average wage.</w:t>
      </w:r>
      <w:r>
        <w:t xml:space="preserve"> Among them, due to close contribution-benefit links, pension inequality is more reactive to w</w:t>
      </w:r>
      <w:r w:rsidRPr="002D6DA6">
        <w:t xml:space="preserve">age inequality in Germany, Poland and Sweden, and </w:t>
      </w:r>
      <w:r>
        <w:t xml:space="preserve">also </w:t>
      </w:r>
      <w:r w:rsidRPr="002D6DA6">
        <w:t>in Chile and Slovenia,</w:t>
      </w:r>
      <w:r>
        <w:t xml:space="preserve"> thereby</w:t>
      </w:r>
      <w:r w:rsidRPr="002D6DA6">
        <w:t xml:space="preserve"> incre</w:t>
      </w:r>
      <w:r>
        <w:t>asing old-age inequality risks.</w:t>
      </w:r>
    </w:p>
    <w:p w:rsidR="00473421" w:rsidRDefault="00473421" w:rsidP="0075163D">
      <w:pPr>
        <w:pStyle w:val="Textodecuerpo"/>
      </w:pPr>
      <w:r>
        <w:t>Most p</w:t>
      </w:r>
      <w:r w:rsidRPr="00657162">
        <w:t xml:space="preserve">ension </w:t>
      </w:r>
      <w:r>
        <w:t xml:space="preserve">systems include </w:t>
      </w:r>
      <w:r w:rsidRPr="00657162">
        <w:t xml:space="preserve">redistribution </w:t>
      </w:r>
      <w:r>
        <w:t>mechanisms to compensate for some of</w:t>
      </w:r>
      <w:r w:rsidRPr="00657162">
        <w:t xml:space="preserve"> the </w:t>
      </w:r>
      <w:r>
        <w:t xml:space="preserve">pension </w:t>
      </w:r>
      <w:r w:rsidRPr="00657162">
        <w:t xml:space="preserve">impact of </w:t>
      </w:r>
      <w:r>
        <w:t>time spent in unemployment and taking care of children</w:t>
      </w:r>
      <w:r w:rsidRPr="00657162">
        <w:t xml:space="preserve">. </w:t>
      </w:r>
      <w:r>
        <w:t xml:space="preserve">Such </w:t>
      </w:r>
      <w:r w:rsidRPr="00657162">
        <w:t xml:space="preserve">pension credits are effective instruments to offset the effects of career interruptions. At the same time, </w:t>
      </w:r>
      <w:r>
        <w:t xml:space="preserve">they should avoid encouraging </w:t>
      </w:r>
      <w:r w:rsidRPr="00657162">
        <w:t xml:space="preserve">workers </w:t>
      </w:r>
      <w:r>
        <w:t>to stay out of work. Policy makers need to s</w:t>
      </w:r>
      <w:r w:rsidRPr="00657162">
        <w:t>trik</w:t>
      </w:r>
      <w:r>
        <w:t>e</w:t>
      </w:r>
      <w:r w:rsidRPr="00657162">
        <w:t xml:space="preserve"> the right balance between </w:t>
      </w:r>
      <w:r>
        <w:t>protecting the period</w:t>
      </w:r>
      <w:r w:rsidRPr="00657162">
        <w:t xml:space="preserve"> of leave from work and </w:t>
      </w:r>
      <w:r>
        <w:t xml:space="preserve">setting </w:t>
      </w:r>
      <w:r w:rsidRPr="00657162">
        <w:t xml:space="preserve">benefit entitlements to ensure that people </w:t>
      </w:r>
      <w:r>
        <w:t>return</w:t>
      </w:r>
      <w:r w:rsidRPr="00657162">
        <w:t xml:space="preserve"> to work</w:t>
      </w:r>
      <w:r>
        <w:t xml:space="preserve">. </w:t>
      </w:r>
      <w:r w:rsidRPr="00657162">
        <w:t>In contrast, credits for periods of higher education are generally regressive as they tend to reward people with higher lifetime earnings</w:t>
      </w:r>
      <w:r>
        <w:t>. Most</w:t>
      </w:r>
      <w:r w:rsidRPr="00EE334E">
        <w:t xml:space="preserve"> OECD countries which had credits for periods of higher education </w:t>
      </w:r>
      <w:r>
        <w:t xml:space="preserve">have abolished them or </w:t>
      </w:r>
      <w:r w:rsidRPr="00EE334E">
        <w:t>are phasing them</w:t>
      </w:r>
      <w:r>
        <w:t xml:space="preserve"> </w:t>
      </w:r>
      <w:r w:rsidRPr="00EE334E">
        <w:t>out.</w:t>
      </w:r>
    </w:p>
    <w:p w:rsidR="00473421" w:rsidRPr="00F16D26" w:rsidRDefault="00473421" w:rsidP="00DF4C8D">
      <w:pPr>
        <w:pStyle w:val="Ttulo4"/>
        <w:spacing w:before="180"/>
      </w:pPr>
      <w:r w:rsidRPr="00F16D26">
        <w:t xml:space="preserve">Increasing </w:t>
      </w:r>
      <w:r>
        <w:t xml:space="preserve">pension </w:t>
      </w:r>
      <w:r w:rsidRPr="00F16D26">
        <w:t>coverage</w:t>
      </w:r>
      <w:r>
        <w:t xml:space="preserve"> to ensure adequate pensions</w:t>
      </w:r>
    </w:p>
    <w:p w:rsidR="00473421" w:rsidRDefault="00473421" w:rsidP="0075163D">
      <w:pPr>
        <w:pStyle w:val="Textodecuerpo"/>
        <w:rPr>
          <w:b/>
        </w:rPr>
      </w:pPr>
      <w:r>
        <w:t>Insufficient coverage through earning-related pension systems not only results in inadequate old age incomes but also increases old-age inequality because low coverage disproportionally affects low earners. Mandatory pension systems in most OECD countries have very high levels of coverage as informal sectors</w:t>
      </w:r>
      <w:r w:rsidRPr="009A7ADA">
        <w:t xml:space="preserve"> </w:t>
      </w:r>
      <w:r>
        <w:t xml:space="preserve">are relatively small, but there are exceptions, such as Chile, Mexico, and Turkey. In Korea many older people are still not covered due to the relatively recent introduction of the pension system. Many less developed countries are suffering from low coverage rates. </w:t>
      </w:r>
      <w:r w:rsidRPr="003B504A">
        <w:t>The share of the workforce contributing to a pension plan ranges from about 12% in India (OECD, 2013</w:t>
      </w:r>
      <w:r>
        <w:t>d</w:t>
      </w:r>
      <w:r w:rsidRPr="003B504A">
        <w:t>) and Indonesia (Muliati, 2013), to over 50% in Brazil</w:t>
      </w:r>
      <w:r w:rsidRPr="003B504A" w:rsidDel="00D46FFE">
        <w:t xml:space="preserve"> </w:t>
      </w:r>
      <w:r w:rsidRPr="003B504A">
        <w:t>(Rofman and Oliveri, 2012</w:t>
      </w:r>
      <w:r>
        <w:t>;</w:t>
      </w:r>
      <w:r w:rsidRPr="00134A75">
        <w:t xml:space="preserve"> </w:t>
      </w:r>
      <w:r>
        <w:t>OECD/IDB/The World Bank, 2014). Promoting formal labour market participation is the most efficient way of increasing coverage. However, most Latin American countries have struggled to close the coverage gap this way, ending up expanding social pensions instead to address adequacy concerns with the added side effect of straining government finances (OECD/IDB/The World Bank, 2014</w:t>
      </w:r>
      <w:r w:rsidRPr="003B504A">
        <w:t xml:space="preserve">). </w:t>
      </w:r>
      <w:r w:rsidRPr="00C525C2">
        <w:t>Expanding mandatory</w:t>
      </w:r>
      <w:r>
        <w:t xml:space="preserve"> pensions to cover self-employed workers is another important measure to</w:t>
      </w:r>
      <w:r w:rsidRPr="00C525C2">
        <w:t xml:space="preserve"> increase coverage.</w:t>
      </w:r>
      <w:r>
        <w:t xml:space="preserve"> R</w:t>
      </w:r>
      <w:r w:rsidRPr="00973BAA">
        <w:t xml:space="preserve">educing the size of the informal sector </w:t>
      </w:r>
      <w:r>
        <w:t xml:space="preserve">more generally requires a </w:t>
      </w:r>
      <w:r w:rsidRPr="00973BAA">
        <w:t>range of labour market, tax and structural policies.</w:t>
      </w:r>
    </w:p>
    <w:p w:rsidR="00473421" w:rsidRPr="006F004D" w:rsidRDefault="00473421" w:rsidP="0075163D">
      <w:pPr>
        <w:pStyle w:val="Ttulo4"/>
      </w:pPr>
      <w:r w:rsidRPr="006F004D">
        <w:t xml:space="preserve">Ensuring a sufficient level of </w:t>
      </w:r>
      <w:r>
        <w:t>conversion of private pensions into annuity payments</w:t>
      </w:r>
    </w:p>
    <w:p w:rsidR="00473421" w:rsidRDefault="00473421" w:rsidP="0075163D">
      <w:pPr>
        <w:pStyle w:val="Textodecuerpo"/>
      </w:pPr>
      <w:r w:rsidRPr="002A126D">
        <w:t xml:space="preserve">One important objective of pension systems is to pool longevity risks and prevent those lucky enough to live a long life from falling into poverty. Annuities are the instruments that ensure that individuals, possibly including widow(er)s, do not outlive accumulated assets. </w:t>
      </w:r>
      <w:r>
        <w:t xml:space="preserve">This is especially relevant for retirees who have saved less during working age and have accumulated low pension assets. </w:t>
      </w:r>
      <w:r w:rsidRPr="002A126D">
        <w:t xml:space="preserve">Individuals covered by public pensions are typically immune from that risk as pension benefits are in that case provided in the form of </w:t>
      </w:r>
      <w:r>
        <w:t>monthly instalments until they die</w:t>
      </w:r>
      <w:r w:rsidRPr="002A126D">
        <w:t>. However, shortfalls in annuitisation in private schemes, such as e.g. in Australia, Switzerland and the United States, and potentially the United Kingdom in the future, raise concerns.</w:t>
      </w:r>
    </w:p>
    <w:p w:rsidR="00473421" w:rsidRPr="00FA79F0" w:rsidRDefault="00473421" w:rsidP="0075163D">
      <w:pPr>
        <w:pStyle w:val="Textodecuerpo"/>
      </w:pPr>
      <w:r w:rsidRPr="00FA79F0">
        <w:t xml:space="preserve">Within private pensions, automatic annuitisation is </w:t>
      </w:r>
      <w:r>
        <w:t>common</w:t>
      </w:r>
      <w:r w:rsidRPr="00FA79F0">
        <w:t xml:space="preserve"> for DB</w:t>
      </w:r>
      <w:r>
        <w:t xml:space="preserve"> while </w:t>
      </w:r>
      <w:r w:rsidRPr="00FA79F0">
        <w:t>DC plans allow easier access to lump-sum distributions (Orlova et al., 2015). There is ample evidence of economic myopia: individuals tend to underestimate financial needs and life duration, and find lump</w:t>
      </w:r>
      <w:r>
        <w:t xml:space="preserve"> </w:t>
      </w:r>
      <w:r w:rsidRPr="00FA79F0">
        <w:t>sums attractive. This is worrying in terms of inequality as insufficient financial literacy is closely related to other socio</w:t>
      </w:r>
      <w:r w:rsidR="00B54C38">
        <w:t>-</w:t>
      </w:r>
      <w:r w:rsidRPr="00FA79F0">
        <w:t>economic disadvantages. Short-sighted behaviour is indeed one key reason why pension systems enhance welfare, especially for those with low financial wealth. It is therefore critical to ensure a high enough replacement rate from annuities by discouraging early lump-sum withdrawals on a</w:t>
      </w:r>
      <w:r>
        <w:t xml:space="preserve"> sufficiently high threshold </w:t>
      </w:r>
      <w:r w:rsidRPr="00FA79F0">
        <w:t>of the pension assets.</w:t>
      </w:r>
    </w:p>
    <w:p w:rsidR="00473421" w:rsidRPr="002A126D" w:rsidRDefault="00473421" w:rsidP="00DF4C8D">
      <w:pPr>
        <w:pStyle w:val="Ttulo4"/>
        <w:spacing w:before="180"/>
      </w:pPr>
      <w:r w:rsidRPr="002A126D">
        <w:t>Carefully designing survivors pensions</w:t>
      </w:r>
    </w:p>
    <w:p w:rsidR="00473421" w:rsidRDefault="00473421" w:rsidP="0075163D">
      <w:pPr>
        <w:pStyle w:val="Textodecuerpo"/>
      </w:pPr>
      <w:r>
        <w:t>Older women are the most exposed to old-age poverty risks. Survivor benefits play an important role to avoid the poverty of widow(er)s, although less than in the past thanks to improvements in women’s labour force participation. They should, however, be carefully designed to avoid inefficient forms of redistribution and work disincentives (Chapter 5). Some countries, such as Sweden, have indeed decided to phase survivors’ benefits out. However, as gender gaps in employment and earnings are still substantial in many countries, care needs to be taken not to leave women who worked part-time and had low earnings with insufficient resources in old age, in particular after the death of the spouse which can dramatically reduce household income.</w:t>
      </w:r>
    </w:p>
    <w:p w:rsidR="00473421" w:rsidRPr="0030470E" w:rsidRDefault="00473421" w:rsidP="0075163D">
      <w:pPr>
        <w:pStyle w:val="Textodecuerpo"/>
      </w:pPr>
      <w:r w:rsidRPr="0030470E">
        <w:t xml:space="preserve">According to Orlova et al. (2015), the choice to subscribe, or not, to the joint-and-survivor life option </w:t>
      </w:r>
      <w:r>
        <w:t xml:space="preserve">for private pensions </w:t>
      </w:r>
      <w:r w:rsidRPr="0030470E">
        <w:t>in the United States substantially increases the risk that surviving spouse falls into poverty</w:t>
      </w:r>
      <w:r>
        <w:t>: a great majority of couples prefer to opt out from the survivor pension to get a higher pension at the time of retirement</w:t>
      </w:r>
      <w:r w:rsidRPr="0030470E">
        <w:t>. Hence, the joint-and-survivor life option should be automatic and reflected in either higher contributions or lower benefits. Survivor pensions are not mandatory in any scheme in Denmark, Iceland and Latvia (James, 2009).</w:t>
      </w:r>
      <w:r>
        <w:rPr>
          <w:rStyle w:val="Refdenotaalfinal"/>
        </w:rPr>
        <w:endnoteReference w:id="24"/>
      </w:r>
      <w:r w:rsidRPr="0030470E">
        <w:t xml:space="preserve"> Here again, survivors’ benefits are less common in DC schemes.</w:t>
      </w:r>
    </w:p>
    <w:p w:rsidR="00473421" w:rsidRPr="0049070A" w:rsidRDefault="00473421" w:rsidP="00DF4C8D">
      <w:pPr>
        <w:pStyle w:val="Ttulo4"/>
        <w:spacing w:before="180"/>
      </w:pPr>
      <w:r w:rsidRPr="0049070A">
        <w:t xml:space="preserve">Toward a unified </w:t>
      </w:r>
      <w:r>
        <w:t xml:space="preserve">pension </w:t>
      </w:r>
      <w:r w:rsidRPr="0049070A">
        <w:t>framework</w:t>
      </w:r>
      <w:r>
        <w:t xml:space="preserve"> for all workers</w:t>
      </w:r>
    </w:p>
    <w:p w:rsidR="00473421" w:rsidRPr="00E45EAE" w:rsidRDefault="00473421" w:rsidP="0075163D">
      <w:pPr>
        <w:pStyle w:val="Textodecuerpo"/>
      </w:pPr>
      <w:r>
        <w:t>Inequalities in the pension treatment of different categories of pensioners can be substantial and give way to suspicion and distrust towards those who are perceived, rightly or wrongly, to be getting a better deal. Belgium, France, Germany and Korea are the only OECD countries that maintain a separate pension system for civil servants (OECD, 2016f). Moreover, among the countries with a fully integrated system, Canada, Iceland, Ireland, Mexico, Norway, the United Kingdom and the United States top up civil servant pensions which results in large benefit differences. M</w:t>
      </w:r>
      <w:r w:rsidRPr="00E45EAE">
        <w:t xml:space="preserve">any countries </w:t>
      </w:r>
      <w:r>
        <w:t xml:space="preserve">also </w:t>
      </w:r>
      <w:r w:rsidRPr="00E45EAE">
        <w:t xml:space="preserve">have </w:t>
      </w:r>
      <w:r>
        <w:t>special</w:t>
      </w:r>
      <w:r w:rsidRPr="00E45EAE">
        <w:t xml:space="preserve"> schemes for specific </w:t>
      </w:r>
      <w:r>
        <w:t xml:space="preserve">groups in the </w:t>
      </w:r>
      <w:r w:rsidRPr="00E45EAE">
        <w:t>public</w:t>
      </w:r>
      <w:r>
        <w:t xml:space="preserve"> </w:t>
      </w:r>
      <w:r w:rsidRPr="00E45EAE">
        <w:t>sector, such as police, firefighters, teachers or local government employees. A unified framework covering all workers in a</w:t>
      </w:r>
      <w:r>
        <w:t>n identical and</w:t>
      </w:r>
      <w:r w:rsidRPr="00E45EAE">
        <w:t xml:space="preserve"> financially sustainable way would contribute to limit</w:t>
      </w:r>
      <w:r>
        <w:t>ing</w:t>
      </w:r>
      <w:r w:rsidRPr="00E45EAE">
        <w:t xml:space="preserve"> inequality</w:t>
      </w:r>
      <w:r>
        <w:t xml:space="preserve">, </w:t>
      </w:r>
      <w:r w:rsidRPr="00E45EAE">
        <w:t>enhanc</w:t>
      </w:r>
      <w:r>
        <w:t>e</w:t>
      </w:r>
      <w:r w:rsidRPr="00E45EAE">
        <w:t xml:space="preserve"> transparency and labour mobility, and reduc</w:t>
      </w:r>
      <w:r>
        <w:t>e</w:t>
      </w:r>
      <w:r w:rsidRPr="00E45EAE">
        <w:t xml:space="preserve"> costs. To </w:t>
      </w:r>
      <w:r>
        <w:t xml:space="preserve">address the situation of workers in </w:t>
      </w:r>
      <w:r w:rsidRPr="00E45EAE">
        <w:t xml:space="preserve">arduous professions, </w:t>
      </w:r>
      <w:r>
        <w:t>assistance such as re</w:t>
      </w:r>
      <w:r w:rsidRPr="00E45EAE">
        <w:t xml:space="preserve">training </w:t>
      </w:r>
      <w:r>
        <w:t xml:space="preserve">and offers of alternative job opportunities </w:t>
      </w:r>
      <w:r w:rsidRPr="00E45EAE">
        <w:t xml:space="preserve">would need to be provided throughout the career to ensure that workers </w:t>
      </w:r>
      <w:r>
        <w:t xml:space="preserve">do not get sick and disabled on the job. Rather than introducing separate early retirement schemes, training programmes should be targeted to employees who are deemed unfit to continue in their previous occupation </w:t>
      </w:r>
      <w:r w:rsidRPr="00E45EAE">
        <w:t>(OECD, 2016</w:t>
      </w:r>
      <w:r>
        <w:t>f</w:t>
      </w:r>
      <w:r w:rsidRPr="00E45EAE">
        <w:t>).</w:t>
      </w:r>
    </w:p>
    <w:p w:rsidR="00473421" w:rsidRDefault="00473421" w:rsidP="00DF4C8D">
      <w:pPr>
        <w:pStyle w:val="Ttulo4"/>
        <w:spacing w:before="180"/>
      </w:pPr>
      <w:r>
        <w:t>Developing age-friendly environments</w:t>
      </w:r>
    </w:p>
    <w:p w:rsidR="00473421" w:rsidRPr="00B355D8" w:rsidRDefault="00473421" w:rsidP="0075163D">
      <w:pPr>
        <w:pStyle w:val="Textodecuerpo"/>
      </w:pPr>
      <w:r>
        <w:t>Developing age-friendly environments to foster older people’s autonomy is an integral component of a strategy to promote healthy ageing (WHO, 2016). It has the potential to limit socio</w:t>
      </w:r>
      <w:r w:rsidR="00B54C38">
        <w:t>-</w:t>
      </w:r>
      <w:r>
        <w:t>economic inequalities in old age as poor older people in particular might need supportive environments to lead a life of dignity when faced with declines in capacity. E</w:t>
      </w:r>
      <w:r w:rsidRPr="00B355D8">
        <w:t xml:space="preserve">nabling greater functional ability </w:t>
      </w:r>
      <w:r>
        <w:t>– </w:t>
      </w:r>
      <w:r w:rsidRPr="00B355D8">
        <w:t>including to meet basic needs, be mobile, continue to learn, build and maintain relationships</w:t>
      </w:r>
      <w:r>
        <w:t> </w:t>
      </w:r>
      <w:r w:rsidRPr="00B355D8">
        <w:t>– can help older people live in a place that is right for them (WHO, 2016). Creating more age-friendly environments requires promoting multisectoral action beyond the health sector, for example in such areas as transport, housing and urban planning.</w:t>
      </w:r>
      <w:r>
        <w:rPr>
          <w:rStyle w:val="Refdenotaalfinal"/>
        </w:rPr>
        <w:endnoteReference w:id="25"/>
      </w:r>
    </w:p>
    <w:p w:rsidR="00473421" w:rsidRDefault="00473421" w:rsidP="00DF4C8D">
      <w:pPr>
        <w:pStyle w:val="Ttulo4"/>
        <w:spacing w:before="180"/>
      </w:pPr>
      <w:r>
        <w:t>Reducing inequalities in long-term care: Making home care</w:t>
      </w:r>
      <w:r w:rsidRPr="00157494">
        <w:t xml:space="preserve"> </w:t>
      </w:r>
      <w:r>
        <w:t>affordable for all</w:t>
      </w:r>
    </w:p>
    <w:p w:rsidR="00473421" w:rsidRPr="006F004D" w:rsidRDefault="00473421" w:rsidP="0075163D">
      <w:pPr>
        <w:pStyle w:val="Textodecuerpo"/>
        <w:rPr>
          <w:b/>
          <w:i/>
        </w:rPr>
      </w:pPr>
      <w:r w:rsidRPr="006F004D">
        <w:t xml:space="preserve">Many older people with LTC needs prefer to stay in their home for as long as possible. As a result, most OECD countries have aimed to reduce the use of institutional care and promote community care. However, while all countries for which data are available cover the cost of institutional care for those who cannot afford it (even if some expect people to put nearly all of their income towards the cost), there are gaps in the coverage of home care needs. Some older people may therefore </w:t>
      </w:r>
      <w:r>
        <w:t>have incentives to go</w:t>
      </w:r>
      <w:r w:rsidRPr="006F004D">
        <w:t xml:space="preserve"> into a care institution where their care needs will be met and their food and board provided</w:t>
      </w:r>
      <w:r w:rsidRPr="00CE321E">
        <w:t>, even if home care might in some cases meet their needs more effectively and give them a better quality of life</w:t>
      </w:r>
      <w:r w:rsidRPr="006F004D">
        <w:t>.</w:t>
      </w:r>
    </w:p>
    <w:p w:rsidR="00473421" w:rsidRPr="006F004D" w:rsidRDefault="00473421" w:rsidP="0075163D">
      <w:pPr>
        <w:pStyle w:val="Textodecuerpo"/>
      </w:pPr>
      <w:r w:rsidRPr="006F004D">
        <w:t>Comprehensive social protection systems, such as those found in Nordic countries and the Netherlands, ensure access to affordable LTC for all, irrespective of income. However, this requires high public spending. Adequate support for low-income people is provided at a lower cost in countries with targeted systems, such as England and Belgium –</w:t>
      </w:r>
      <w:r>
        <w:t> </w:t>
      </w:r>
      <w:r w:rsidRPr="006F004D">
        <w:t>although richer people are required to make large contributions that may reduce their living standards or deplete their assets. Where social protection is neither comprehensive nor well-targeted, home care is often unaffordable to people with low incomes.</w:t>
      </w:r>
    </w:p>
    <w:p w:rsidR="00473421" w:rsidRPr="00AC6EAE" w:rsidRDefault="00473421" w:rsidP="00DF4C8D">
      <w:pPr>
        <w:pStyle w:val="Ttulo4"/>
        <w:spacing w:before="180"/>
      </w:pPr>
      <w:r w:rsidRPr="00AC6EAE">
        <w:t>Reducing inequalities in caring through better support to informal carers</w:t>
      </w:r>
    </w:p>
    <w:p w:rsidR="00473421" w:rsidRDefault="00473421" w:rsidP="0075163D">
      <w:pPr>
        <w:pStyle w:val="Textodecuerpo"/>
      </w:pPr>
      <w:r>
        <w:t>Although many people want to provide informal care to friends and family, doing so has costs. There is an opportunity cost to the time spent providing unpaid care; and caring can conflict with work responsibilities or increase the risk of mental health problems. Strengthening social protection for LTC can help to reduce disparities in providing care: in countries with comprehensive LTC coverage, such as the Netherlands, Iceland or Sweden, inequalities along socio</w:t>
      </w:r>
      <w:r w:rsidR="00B54C38">
        <w:t>-</w:t>
      </w:r>
      <w:r>
        <w:t xml:space="preserve">economic lines in the provision of informal care are less </w:t>
      </w:r>
      <w:r w:rsidRPr="0056635F">
        <w:t>pronounced. Countries must also do more to support informal carers. A range of policy options exist, including cash benefits, respite care, training and counselling, but evidence of their effectiveness is mixed and further evaluations are needed. Interventions may need to be targeted on those who need them most, in particular women with low socio</w:t>
      </w:r>
      <w:r w:rsidR="00B54C38">
        <w:t>-</w:t>
      </w:r>
      <w:r w:rsidRPr="0056635F">
        <w:t>economic status.</w:t>
      </w:r>
    </w:p>
    <w:p w:rsidR="00473421" w:rsidRPr="008B7D52" w:rsidRDefault="00473421" w:rsidP="0075163D">
      <w:pPr>
        <w:pStyle w:val="Textodecuerpo"/>
      </w:pPr>
      <w:r w:rsidRPr="008B7D52">
        <w:t>More flexible working arrangements of employees with a dependent elderly will be needed. To meet those needs, many countries provide employees with a right to either flexible working time or to family-caregiver leave, but often without financial compensation. It is also important that such leave can be granted within a short notice period given that LTC needs are largely unpredictable. In April</w:t>
      </w:r>
      <w:r>
        <w:t> </w:t>
      </w:r>
      <w:r w:rsidRPr="008B7D52">
        <w:t>2017, the European Commission adopted a Directive propos</w:t>
      </w:r>
      <w:r>
        <w:t>al</w:t>
      </w:r>
      <w:r w:rsidRPr="008B7D52">
        <w:t xml:space="preserve"> wh</w:t>
      </w:r>
      <w:r>
        <w:t>ich</w:t>
      </w:r>
      <w:r w:rsidRPr="008B7D52">
        <w:t xml:space="preserve"> would introduce a carer’s leave of five</w:t>
      </w:r>
      <w:r>
        <w:t> </w:t>
      </w:r>
      <w:r w:rsidRPr="008B7D52">
        <w:t>days per year compensated at least at the level of sick pay.</w:t>
      </w:r>
      <w:r w:rsidRPr="008B7D52">
        <w:rPr>
          <w:rStyle w:val="Refdenotaalfinal"/>
        </w:rPr>
        <w:endnoteReference w:id="26"/>
      </w:r>
    </w:p>
    <w:p w:rsidR="00473421" w:rsidRPr="00E703EF" w:rsidRDefault="00473421" w:rsidP="00DF4C8D">
      <w:pPr>
        <w:pStyle w:val="Ttulo4"/>
        <w:spacing w:before="180"/>
      </w:pPr>
      <w:r>
        <w:t>Redesigning policies in a life course perspective</w:t>
      </w:r>
    </w:p>
    <w:p w:rsidR="00473421" w:rsidRDefault="00473421" w:rsidP="0075163D">
      <w:pPr>
        <w:pStyle w:val="Textodecuerpo"/>
      </w:pPr>
      <w:r>
        <w:t>The best policies to prevent ageing unequally are those that start early and that work together in a comprehensive package across the various dimensions of inequality, picking up on disadvantage as soon as it arises. To do so requires rethinking the way policy is made and moving out of policy silos. The evidence on how inequalities compound over the life c</w:t>
      </w:r>
      <w:r w:rsidR="00D54491">
        <w:t>ourse</w:t>
      </w:r>
      <w:r>
        <w:t xml:space="preserve"> calls for joint action by family, education, employment, social and territorial development ministries and agencies. Integrating policies and social services, in particular for more vulnerable groups, has the potential to address the multiple underlying reasons of vulnerability simultaneously. It can also facilitate information and knowledge sharing between administrations and agencies and reduce the cost burden of delivering support, both in the short term but even more so in the longer term by preventing inequalities from widening. Countries will differ in the way such knowledge sharing and joint policy action is best set up, but all will need strong leadership in identifying needs, acting upon them with appropriate policies and co</w:t>
      </w:r>
      <w:r w:rsidR="008E6454">
        <w:t>-</w:t>
      </w:r>
      <w:r>
        <w:t>ordinating policy responses between the different actors.</w:t>
      </w:r>
    </w:p>
    <w:p w:rsidR="00F40B9B" w:rsidRDefault="00F40B9B" w:rsidP="00F40B9B">
      <w:pPr>
        <w:pStyle w:val="Textodecuerpo"/>
        <w:sectPr w:rsidR="00F40B9B" w:rsidSect="00F40B9B">
          <w:headerReference w:type="even" r:id="rId89"/>
          <w:headerReference w:type="default" r:id="rId90"/>
          <w:endnotePr>
            <w:numFmt w:val="decimal"/>
            <w:numRestart w:val="eachSect"/>
          </w:endnotePr>
          <w:type w:val="oddPage"/>
          <w:pgSz w:w="11906" w:h="16838" w:code="9"/>
          <w:pgMar w:top="2098" w:right="1304" w:bottom="1928" w:left="1304" w:header="1531" w:footer="1474" w:gutter="0"/>
          <w:cols w:space="720"/>
          <w:noEndnote/>
          <w:docGrid w:linePitch="299"/>
        </w:sectPr>
      </w:pPr>
    </w:p>
    <w:p w:rsidR="00F40B9B" w:rsidRPr="00223DD0" w:rsidRDefault="00473421" w:rsidP="0075163D">
      <w:pPr>
        <w:pStyle w:val="BibliographyHeading"/>
        <w:rPr>
          <w:b/>
          <w:i w:val="0"/>
          <w:sz w:val="28"/>
          <w:szCs w:val="28"/>
        </w:rPr>
        <w:sectPr w:rsidR="00F40B9B" w:rsidRPr="00223DD0" w:rsidSect="00223DD0">
          <w:endnotePr>
            <w:numFmt w:val="decimal"/>
            <w:numRestart w:val="eachSect"/>
          </w:endnotePr>
          <w:pgSz w:w="11906" w:h="16838" w:code="9"/>
          <w:pgMar w:top="2098" w:right="1304" w:bottom="1928" w:left="1304" w:header="1531" w:footer="1474" w:gutter="0"/>
          <w:cols w:space="720"/>
          <w:docGrid w:linePitch="299"/>
        </w:sectPr>
      </w:pPr>
      <w:r w:rsidRPr="00223DD0">
        <w:rPr>
          <w:b/>
          <w:i w:val="0"/>
          <w:sz w:val="28"/>
          <w:szCs w:val="28"/>
        </w:rPr>
        <w:t>Notes</w:t>
      </w:r>
    </w:p>
    <w:p w:rsidR="00473421" w:rsidRPr="006672D6" w:rsidRDefault="00473421" w:rsidP="0075163D">
      <w:pPr>
        <w:pStyle w:val="BibliographyHeading"/>
      </w:pPr>
      <w:r w:rsidRPr="006672D6">
        <w:t>R</w:t>
      </w:r>
      <w:r w:rsidR="004B67AC">
        <w:t>eferences</w:t>
      </w:r>
    </w:p>
    <w:p w:rsidR="00473421" w:rsidRDefault="00473421" w:rsidP="0075163D">
      <w:pPr>
        <w:pStyle w:val="Biblio-Entry"/>
      </w:pPr>
      <w:r w:rsidRPr="003712AD">
        <w:t>Baker</w:t>
      </w:r>
      <w:r w:rsidR="004B67AC">
        <w:t>,</w:t>
      </w:r>
      <w:r w:rsidRPr="003712AD">
        <w:t xml:space="preserve"> M., </w:t>
      </w:r>
      <w:r w:rsidR="004B67AC">
        <w:t xml:space="preserve">M. </w:t>
      </w:r>
      <w:r w:rsidRPr="003712AD">
        <w:t>Stabil</w:t>
      </w:r>
      <w:r w:rsidR="004B67AC">
        <w:t>e</w:t>
      </w:r>
      <w:r w:rsidRPr="003712AD">
        <w:t xml:space="preserve"> and C. Deri (2004) “What Do Self-Reported, Objective, Measures of Health Measure?”, </w:t>
      </w:r>
      <w:r w:rsidRPr="003712AD">
        <w:rPr>
          <w:i/>
          <w:iCs/>
        </w:rPr>
        <w:t>Journal of Human Resources</w:t>
      </w:r>
      <w:r w:rsidRPr="003712AD">
        <w:t>, Vol.</w:t>
      </w:r>
      <w:r>
        <w:t> </w:t>
      </w:r>
      <w:r w:rsidRPr="003712AD">
        <w:t xml:space="preserve">39, </w:t>
      </w:r>
      <w:r>
        <w:t>pp. </w:t>
      </w:r>
      <w:r w:rsidRPr="003712AD">
        <w:t>1067-1093.</w:t>
      </w:r>
    </w:p>
    <w:p w:rsidR="00473421" w:rsidRDefault="00473421" w:rsidP="0075163D">
      <w:pPr>
        <w:pStyle w:val="Biblio-Entry"/>
      </w:pPr>
      <w:r>
        <w:t xml:space="preserve">Börsch-Supan, A., M. Coppola and A. Reil-Held (2012), “Riester Pensions in Germany: Design, Dynamics, Targeting Success and Crowding-in”, </w:t>
      </w:r>
      <w:r>
        <w:rPr>
          <w:i/>
          <w:iCs/>
        </w:rPr>
        <w:t>NBER Working Paper Series</w:t>
      </w:r>
      <w:r>
        <w:t>, No. 18014, Cambridge, Untied States.</w:t>
      </w:r>
    </w:p>
    <w:p w:rsidR="00473421" w:rsidRPr="00CC22EF" w:rsidRDefault="00473421" w:rsidP="0075163D">
      <w:pPr>
        <w:pStyle w:val="Biblio-Entry"/>
      </w:pPr>
      <w:r w:rsidRPr="00CC22EF">
        <w:t xml:space="preserve">Bound, J. (1991) “Self-reported </w:t>
      </w:r>
      <w:r>
        <w:t>Versus O</w:t>
      </w:r>
      <w:r w:rsidRPr="00CC22EF">
        <w:t xml:space="preserve">bjective </w:t>
      </w:r>
      <w:r>
        <w:t>M</w:t>
      </w:r>
      <w:r w:rsidRPr="00CC22EF">
        <w:t xml:space="preserve">easures of </w:t>
      </w:r>
      <w:r>
        <w:t>H</w:t>
      </w:r>
      <w:r w:rsidRPr="00CC22EF">
        <w:t xml:space="preserve">ealth in </w:t>
      </w:r>
      <w:r>
        <w:t>R</w:t>
      </w:r>
      <w:r w:rsidRPr="00CC22EF">
        <w:t xml:space="preserve">etirement </w:t>
      </w:r>
      <w:r>
        <w:t>M</w:t>
      </w:r>
      <w:r w:rsidRPr="00CC22EF">
        <w:t xml:space="preserve">odels”, </w:t>
      </w:r>
      <w:r w:rsidRPr="00CC22EF">
        <w:rPr>
          <w:i/>
          <w:iCs/>
        </w:rPr>
        <w:t>Journal of Human Resources</w:t>
      </w:r>
      <w:r>
        <w:rPr>
          <w:iCs/>
        </w:rPr>
        <w:t>,</w:t>
      </w:r>
      <w:r w:rsidRPr="00CC22EF">
        <w:t xml:space="preserve"> </w:t>
      </w:r>
      <w:r>
        <w:t>Vol. </w:t>
      </w:r>
      <w:r w:rsidRPr="00CC22EF">
        <w:t>26</w:t>
      </w:r>
      <w:r>
        <w:t>, No. </w:t>
      </w:r>
      <w:r w:rsidRPr="00CC22EF">
        <w:t xml:space="preserve">1, </w:t>
      </w:r>
      <w:r>
        <w:t>pp. </w:t>
      </w:r>
      <w:r w:rsidRPr="00CC22EF">
        <w:t>106</w:t>
      </w:r>
      <w:r>
        <w:t>-</w:t>
      </w:r>
      <w:r w:rsidRPr="00CC22EF">
        <w:t>138.</w:t>
      </w:r>
    </w:p>
    <w:p w:rsidR="00473421" w:rsidRPr="002B37EF" w:rsidRDefault="00473421" w:rsidP="0075163D">
      <w:pPr>
        <w:pStyle w:val="Biblio-Entry"/>
      </w:pPr>
      <w:r w:rsidRPr="002B37EF">
        <w:t xml:space="preserve">Cahuc P., J.-O. Hairault </w:t>
      </w:r>
      <w:r>
        <w:t>and</w:t>
      </w:r>
      <w:r w:rsidRPr="002B37EF">
        <w:t xml:space="preserve"> C. Prost (2016), </w:t>
      </w:r>
      <w:r>
        <w:t>“</w:t>
      </w:r>
      <w:r w:rsidRPr="002B37EF">
        <w:t>The Employment of Seniors: A Choice to Cla</w:t>
      </w:r>
      <w:r>
        <w:t>r</w:t>
      </w:r>
      <w:r w:rsidRPr="002B37EF">
        <w:t>ify and Personalize</w:t>
      </w:r>
      <w:r>
        <w:t>”,</w:t>
      </w:r>
      <w:r w:rsidRPr="002B37EF">
        <w:t xml:space="preserve"> </w:t>
      </w:r>
      <w:r w:rsidRPr="004E45E0">
        <w:rPr>
          <w:i/>
        </w:rPr>
        <w:t>Les notes du Conseil d’analyse économique</w:t>
      </w:r>
      <w:r w:rsidRPr="002B37EF">
        <w:t xml:space="preserve">, </w:t>
      </w:r>
      <w:r>
        <w:t>No</w:t>
      </w:r>
      <w:r w:rsidRPr="002B37EF">
        <w:t xml:space="preserve"> 32, </w:t>
      </w:r>
      <w:r>
        <w:t>May</w:t>
      </w:r>
      <w:r w:rsidRPr="002B37EF">
        <w:t>.</w:t>
      </w:r>
    </w:p>
    <w:p w:rsidR="00473421" w:rsidRPr="004F33B5" w:rsidRDefault="00473421" w:rsidP="0075163D">
      <w:pPr>
        <w:pStyle w:val="Biblio-Entry"/>
        <w:rPr>
          <w:lang w:val="en"/>
        </w:rPr>
      </w:pPr>
      <w:r w:rsidRPr="004F33B5">
        <w:rPr>
          <w:lang w:val="en"/>
        </w:rPr>
        <w:t>Canning</w:t>
      </w:r>
      <w:r>
        <w:rPr>
          <w:lang w:val="en"/>
        </w:rPr>
        <w:t>,</w:t>
      </w:r>
      <w:r w:rsidRPr="004F33B5">
        <w:rPr>
          <w:lang w:val="en"/>
        </w:rPr>
        <w:t xml:space="preserve"> D. and D. Bowser (2010), “Investing in </w:t>
      </w:r>
      <w:r>
        <w:rPr>
          <w:lang w:val="en"/>
        </w:rPr>
        <w:t>H</w:t>
      </w:r>
      <w:r w:rsidRPr="004F33B5">
        <w:rPr>
          <w:lang w:val="en"/>
        </w:rPr>
        <w:t xml:space="preserve">ealth to </w:t>
      </w:r>
      <w:r>
        <w:rPr>
          <w:lang w:val="en"/>
        </w:rPr>
        <w:t>I</w:t>
      </w:r>
      <w:r w:rsidRPr="004F33B5">
        <w:rPr>
          <w:lang w:val="en"/>
        </w:rPr>
        <w:t xml:space="preserve">mprove the </w:t>
      </w:r>
      <w:r>
        <w:rPr>
          <w:lang w:val="en"/>
        </w:rPr>
        <w:t>W</w:t>
      </w:r>
      <w:r w:rsidRPr="004F33B5">
        <w:rPr>
          <w:lang w:val="en"/>
        </w:rPr>
        <w:t xml:space="preserve">ellbeing of the </w:t>
      </w:r>
      <w:r>
        <w:rPr>
          <w:lang w:val="en"/>
        </w:rPr>
        <w:t>D</w:t>
      </w:r>
      <w:r w:rsidRPr="004F33B5">
        <w:rPr>
          <w:lang w:val="en"/>
        </w:rPr>
        <w:t xml:space="preserve">isadvantaged: Reversing the </w:t>
      </w:r>
      <w:r>
        <w:rPr>
          <w:lang w:val="en"/>
        </w:rPr>
        <w:t>A</w:t>
      </w:r>
      <w:r w:rsidRPr="004F33B5">
        <w:rPr>
          <w:lang w:val="en"/>
        </w:rPr>
        <w:t xml:space="preserve">rgument of </w:t>
      </w:r>
      <w:r w:rsidRPr="004F33B5">
        <w:rPr>
          <w:i/>
          <w:lang w:val="en"/>
        </w:rPr>
        <w:t>Fair Society, Hea</w:t>
      </w:r>
      <w:r>
        <w:rPr>
          <w:i/>
          <w:lang w:val="en"/>
        </w:rPr>
        <w:t>l</w:t>
      </w:r>
      <w:r w:rsidRPr="004F33B5">
        <w:rPr>
          <w:i/>
          <w:lang w:val="en"/>
        </w:rPr>
        <w:t xml:space="preserve">thy Lives </w:t>
      </w:r>
      <w:r w:rsidRPr="004F33B5">
        <w:rPr>
          <w:lang w:val="en"/>
        </w:rPr>
        <w:t>(The Marmot Review)”</w:t>
      </w:r>
      <w:r w:rsidRPr="004F33B5">
        <w:rPr>
          <w:i/>
          <w:lang w:val="en"/>
        </w:rPr>
        <w:t>, Social Science and Medicine</w:t>
      </w:r>
      <w:r w:rsidRPr="004E45E0">
        <w:rPr>
          <w:lang w:val="en"/>
        </w:rPr>
        <w:t>,</w:t>
      </w:r>
      <w:r w:rsidRPr="004F33B5">
        <w:rPr>
          <w:i/>
          <w:lang w:val="en"/>
        </w:rPr>
        <w:t xml:space="preserve"> </w:t>
      </w:r>
      <w:r>
        <w:rPr>
          <w:lang w:val="en"/>
        </w:rPr>
        <w:t>Vol. </w:t>
      </w:r>
      <w:r w:rsidRPr="004F33B5">
        <w:rPr>
          <w:lang w:val="en"/>
        </w:rPr>
        <w:t>71.</w:t>
      </w:r>
    </w:p>
    <w:p w:rsidR="00473421" w:rsidRDefault="00473421" w:rsidP="0075163D">
      <w:pPr>
        <w:pStyle w:val="Biblio-Entry"/>
      </w:pPr>
      <w:r>
        <w:t>Chen, Y. and Li H. (2008), “</w:t>
      </w:r>
      <w:r w:rsidRPr="00972B46">
        <w:t xml:space="preserve">Mother’s </w:t>
      </w:r>
      <w:r>
        <w:t>E</w:t>
      </w:r>
      <w:r w:rsidRPr="00972B46">
        <w:t xml:space="preserve">ducation and </w:t>
      </w:r>
      <w:r>
        <w:t>C</w:t>
      </w:r>
      <w:r w:rsidRPr="00972B46">
        <w:t xml:space="preserve">hild </w:t>
      </w:r>
      <w:r>
        <w:t>H</w:t>
      </w:r>
      <w:r w:rsidRPr="00972B46">
        <w:t xml:space="preserve">ealth: Is </w:t>
      </w:r>
      <w:r>
        <w:t>T</w:t>
      </w:r>
      <w:r w:rsidRPr="00972B46">
        <w:t xml:space="preserve">here a </w:t>
      </w:r>
      <w:r>
        <w:t>N</w:t>
      </w:r>
      <w:r w:rsidRPr="00972B46">
        <w:t xml:space="preserve">urturing </w:t>
      </w:r>
      <w:r>
        <w:t>E</w:t>
      </w:r>
      <w:r w:rsidRPr="00972B46">
        <w:t>ffect?</w:t>
      </w:r>
      <w:r>
        <w:t xml:space="preserve">”, </w:t>
      </w:r>
      <w:r w:rsidRPr="009642A8">
        <w:rPr>
          <w:i/>
        </w:rPr>
        <w:t>Journal of Health Economics</w:t>
      </w:r>
      <w:r>
        <w:t>,</w:t>
      </w:r>
      <w:r w:rsidRPr="00972B46">
        <w:t xml:space="preserve"> </w:t>
      </w:r>
      <w:r>
        <w:t>Vol. 28,</w:t>
      </w:r>
      <w:r w:rsidRPr="00972B46">
        <w:t xml:space="preserve"> </w:t>
      </w:r>
      <w:r>
        <w:t>pp. </w:t>
      </w:r>
      <w:r w:rsidRPr="00972B46">
        <w:t>413</w:t>
      </w:r>
      <w:r>
        <w:t>-</w:t>
      </w:r>
      <w:r w:rsidRPr="00972B46">
        <w:t>426</w:t>
      </w:r>
      <w:r>
        <w:t>.</w:t>
      </w:r>
    </w:p>
    <w:p w:rsidR="00473421" w:rsidRDefault="00473421" w:rsidP="0075163D">
      <w:pPr>
        <w:pStyle w:val="Biblio-Entry"/>
      </w:pPr>
      <w:r w:rsidRPr="00AB3514">
        <w:t xml:space="preserve">CHRODIS (2016), “Good </w:t>
      </w:r>
      <w:r>
        <w:t>P</w:t>
      </w:r>
      <w:r w:rsidRPr="00AB3514">
        <w:t xml:space="preserve">ractices in the </w:t>
      </w:r>
      <w:r>
        <w:t>F</w:t>
      </w:r>
      <w:r w:rsidRPr="00AB3514">
        <w:t xml:space="preserve">ield of </w:t>
      </w:r>
      <w:r>
        <w:t>H</w:t>
      </w:r>
      <w:r w:rsidRPr="00AB3514">
        <w:t xml:space="preserve">ealth </w:t>
      </w:r>
      <w:r>
        <w:t>P</w:t>
      </w:r>
      <w:r w:rsidRPr="00AB3514">
        <w:t xml:space="preserve">romotion and </w:t>
      </w:r>
      <w:r>
        <w:t>C</w:t>
      </w:r>
      <w:r w:rsidRPr="00AB3514">
        <w:t xml:space="preserve">hronic </w:t>
      </w:r>
      <w:r>
        <w:t>D</w:t>
      </w:r>
      <w:r w:rsidRPr="00AB3514">
        <w:t xml:space="preserve">isease </w:t>
      </w:r>
      <w:r>
        <w:t>P</w:t>
      </w:r>
      <w:r w:rsidRPr="00AB3514">
        <w:t xml:space="preserve">revention </w:t>
      </w:r>
      <w:r>
        <w:t>A</w:t>
      </w:r>
      <w:r w:rsidRPr="00AB3514">
        <w:t xml:space="preserve">cross the </w:t>
      </w:r>
      <w:r>
        <w:t>L</w:t>
      </w:r>
      <w:r w:rsidRPr="00AB3514">
        <w:t xml:space="preserve">ife </w:t>
      </w:r>
      <w:r>
        <w:t>C</w:t>
      </w:r>
      <w:r w:rsidRPr="00AB3514">
        <w:t xml:space="preserve">ycle </w:t>
      </w:r>
      <w:r>
        <w:t>–</w:t>
      </w:r>
      <w:r w:rsidRPr="00AB3514">
        <w:t xml:space="preserve"> </w:t>
      </w:r>
      <w:r>
        <w:t>O</w:t>
      </w:r>
      <w:r w:rsidRPr="00AB3514">
        <w:t xml:space="preserve">utcomes at a </w:t>
      </w:r>
      <w:r>
        <w:t>G</w:t>
      </w:r>
      <w:r w:rsidRPr="00AB3514">
        <w:t>lance”, Joint Action CHRODIS Work Package 5, Federal Centre for Health Education (BZgA), Germany and EuroHealthNet, Brussels.</w:t>
      </w:r>
    </w:p>
    <w:p w:rsidR="00473421" w:rsidRDefault="00473421" w:rsidP="0075163D">
      <w:pPr>
        <w:pStyle w:val="Biblio-Entry"/>
      </w:pPr>
      <w:r w:rsidRPr="00AB3514">
        <w:rPr>
          <w:color w:val="000000"/>
        </w:rPr>
        <w:t xml:space="preserve">Commonwealth Fund (2016), </w:t>
      </w:r>
      <w:r>
        <w:rPr>
          <w:color w:val="000000"/>
        </w:rPr>
        <w:t>“</w:t>
      </w:r>
      <w:r w:rsidRPr="00AB3514">
        <w:rPr>
          <w:color w:val="000000"/>
        </w:rPr>
        <w:t>2016 International Health Policy Survey</w:t>
      </w:r>
      <w:r>
        <w:rPr>
          <w:color w:val="000000"/>
        </w:rPr>
        <w:t>”</w:t>
      </w:r>
      <w:r w:rsidRPr="00AB3514">
        <w:rPr>
          <w:color w:val="000000"/>
        </w:rPr>
        <w:t>, November.</w:t>
      </w:r>
    </w:p>
    <w:p w:rsidR="00473421" w:rsidRPr="00AB3514" w:rsidRDefault="00473421" w:rsidP="0075163D">
      <w:pPr>
        <w:pStyle w:val="Biblio-Entry"/>
      </w:pPr>
      <w:r w:rsidRPr="00AB3514">
        <w:t>Corna</w:t>
      </w:r>
      <w:r>
        <w:t>,</w:t>
      </w:r>
      <w:r w:rsidRPr="00AB3514">
        <w:t xml:space="preserve"> L.M. (2013), “A </w:t>
      </w:r>
      <w:r>
        <w:t>L</w:t>
      </w:r>
      <w:r w:rsidRPr="00AB3514">
        <w:t xml:space="preserve">ife </w:t>
      </w:r>
      <w:r>
        <w:t>C</w:t>
      </w:r>
      <w:r w:rsidRPr="00AB3514">
        <w:t xml:space="preserve">ourse </w:t>
      </w:r>
      <w:r>
        <w:t>P</w:t>
      </w:r>
      <w:r w:rsidRPr="00AB3514">
        <w:t xml:space="preserve">erspective on </w:t>
      </w:r>
      <w:r>
        <w:t>Socioeconomic I</w:t>
      </w:r>
      <w:r w:rsidRPr="00AB3514">
        <w:t xml:space="preserve">nequalities in </w:t>
      </w:r>
      <w:r>
        <w:t>H</w:t>
      </w:r>
      <w:r w:rsidRPr="00AB3514">
        <w:t xml:space="preserve">ealth: A </w:t>
      </w:r>
      <w:r>
        <w:t>C</w:t>
      </w:r>
      <w:r w:rsidRPr="00AB3514">
        <w:t xml:space="preserve">ritical </w:t>
      </w:r>
      <w:r>
        <w:t>R</w:t>
      </w:r>
      <w:r w:rsidRPr="00AB3514">
        <w:t xml:space="preserve">eview of </w:t>
      </w:r>
      <w:r>
        <w:t>C</w:t>
      </w:r>
      <w:r w:rsidRPr="00AB3514">
        <w:t xml:space="preserve">onceptual </w:t>
      </w:r>
      <w:r>
        <w:t>F</w:t>
      </w:r>
      <w:r w:rsidRPr="00AB3514">
        <w:t xml:space="preserve">ramework”, </w:t>
      </w:r>
      <w:r w:rsidRPr="00AB3514">
        <w:rPr>
          <w:i/>
        </w:rPr>
        <w:t>Advances in Life Course Research</w:t>
      </w:r>
      <w:r w:rsidRPr="004E45E0">
        <w:t>,</w:t>
      </w:r>
      <w:r w:rsidRPr="00AB3514">
        <w:rPr>
          <w:i/>
        </w:rPr>
        <w:t xml:space="preserve"> </w:t>
      </w:r>
      <w:r w:rsidRPr="00AB3514">
        <w:t>Vol.</w:t>
      </w:r>
      <w:r>
        <w:t> </w:t>
      </w:r>
      <w:r w:rsidRPr="00AB3514">
        <w:t xml:space="preserve">18, </w:t>
      </w:r>
      <w:r>
        <w:t>pp. </w:t>
      </w:r>
      <w:r w:rsidRPr="00AB3514">
        <w:t>150-159.</w:t>
      </w:r>
    </w:p>
    <w:p w:rsidR="00473421" w:rsidRPr="00450E25" w:rsidRDefault="00473421" w:rsidP="0075163D">
      <w:pPr>
        <w:pStyle w:val="Biblio-Entry"/>
      </w:pPr>
      <w:r w:rsidRPr="00450E25">
        <w:t>Dannefer</w:t>
      </w:r>
      <w:r>
        <w:t>,</w:t>
      </w:r>
      <w:r w:rsidRPr="00450E25">
        <w:t xml:space="preserve"> D. (2003), “Cumulat</w:t>
      </w:r>
      <w:r>
        <w:t>iv</w:t>
      </w:r>
      <w:r w:rsidRPr="00450E25">
        <w:t xml:space="preserve">e Advantage/Disadvantage and the Life Course: Cross-Fertilizing Age and Social Science Theory”, </w:t>
      </w:r>
      <w:r w:rsidRPr="00450E25">
        <w:rPr>
          <w:i/>
        </w:rPr>
        <w:t>Journal of Gerontology</w:t>
      </w:r>
      <w:r w:rsidRPr="00450E25">
        <w:t>, Vol.</w:t>
      </w:r>
      <w:r>
        <w:t> </w:t>
      </w:r>
      <w:r w:rsidRPr="00450E25">
        <w:t>58B, No.</w:t>
      </w:r>
      <w:r>
        <w:t> </w:t>
      </w:r>
      <w:r w:rsidRPr="00450E25">
        <w:t xml:space="preserve">6, </w:t>
      </w:r>
      <w:r>
        <w:t>pp. </w:t>
      </w:r>
      <w:r w:rsidRPr="00450E25">
        <w:t>327-337.</w:t>
      </w:r>
    </w:p>
    <w:p w:rsidR="00473421" w:rsidRDefault="00473421" w:rsidP="0075163D">
      <w:pPr>
        <w:pStyle w:val="Biblio-Entry"/>
      </w:pPr>
      <w:r>
        <w:t xml:space="preserve">Deaton, A. (2013), “What Does the Empirical Evidence Tell Us About the Injustice of Health Inequalities?”, in Nir Eyal, Samia Hurst, Ole Frithof Norheim and Daniel Wikler (eds.), </w:t>
      </w:r>
      <w:r>
        <w:rPr>
          <w:i/>
          <w:iCs/>
        </w:rPr>
        <w:t>Inequalities in Health: Concepts, Measures and Ethics</w:t>
      </w:r>
      <w:r>
        <w:t>, Oxford University Press, Oxford, United Kingdom.</w:t>
      </w:r>
    </w:p>
    <w:p w:rsidR="00473421" w:rsidRPr="00747D62" w:rsidRDefault="00473421" w:rsidP="0075163D">
      <w:pPr>
        <w:pStyle w:val="Biblio-Entry"/>
      </w:pPr>
      <w:r w:rsidRPr="00747D62">
        <w:t xml:space="preserve">Deaton, A. and C. Paxson (1994), </w:t>
      </w:r>
      <w:r>
        <w:t>“</w:t>
      </w:r>
      <w:r w:rsidRPr="00747D62">
        <w:t xml:space="preserve">Saving, </w:t>
      </w:r>
      <w:r>
        <w:t>G</w:t>
      </w:r>
      <w:r w:rsidRPr="00747D62">
        <w:t xml:space="preserve">rowth, and </w:t>
      </w:r>
      <w:r>
        <w:t>A</w:t>
      </w:r>
      <w:r w:rsidRPr="00747D62">
        <w:t>geing in Taiwan</w:t>
      </w:r>
      <w:r>
        <w:t>”</w:t>
      </w:r>
      <w:r w:rsidRPr="00747D62">
        <w:t>, in D.A. Wise (</w:t>
      </w:r>
      <w:r>
        <w:t>e</w:t>
      </w:r>
      <w:r w:rsidRPr="00747D62">
        <w:t>d</w:t>
      </w:r>
      <w:r>
        <w:t>.</w:t>
      </w:r>
      <w:r w:rsidRPr="00747D62">
        <w:t xml:space="preserve">), </w:t>
      </w:r>
      <w:r w:rsidRPr="00747D62">
        <w:rPr>
          <w:i/>
        </w:rPr>
        <w:t xml:space="preserve">Studies in the </w:t>
      </w:r>
      <w:r>
        <w:rPr>
          <w:i/>
        </w:rPr>
        <w:t>E</w:t>
      </w:r>
      <w:r w:rsidRPr="00747D62">
        <w:rPr>
          <w:i/>
        </w:rPr>
        <w:t xml:space="preserve">conomics of </w:t>
      </w:r>
      <w:r>
        <w:rPr>
          <w:i/>
        </w:rPr>
        <w:t>A</w:t>
      </w:r>
      <w:r w:rsidRPr="00747D62">
        <w:rPr>
          <w:i/>
        </w:rPr>
        <w:t>ging</w:t>
      </w:r>
      <w:r w:rsidRPr="00747D62">
        <w:t>, Chapter</w:t>
      </w:r>
      <w:r>
        <w:t> </w:t>
      </w:r>
      <w:r w:rsidRPr="00747D62">
        <w:t>9, Chicago University Press for the National Bureau of Economic Research.</w:t>
      </w:r>
    </w:p>
    <w:p w:rsidR="00473421" w:rsidRPr="001F29F4" w:rsidRDefault="00473421" w:rsidP="0075163D">
      <w:pPr>
        <w:pStyle w:val="Biblio-Entry"/>
      </w:pPr>
      <w:r>
        <w:t>d</w:t>
      </w:r>
      <w:r w:rsidRPr="001F29F4">
        <w:t xml:space="preserve">e la Maisonneuve, C. and J.O. Martins (2013), “Projection Method for Public Health and Long-term Care Expenditures”, </w:t>
      </w:r>
      <w:r w:rsidRPr="001F29F4">
        <w:rPr>
          <w:i/>
        </w:rPr>
        <w:t>OECD Economics Department Working Paper</w:t>
      </w:r>
      <w:r w:rsidRPr="001F29F4">
        <w:t>, No. 1048, OECD Publishing, Paris</w:t>
      </w:r>
      <w:r>
        <w:t xml:space="preserve">, </w:t>
      </w:r>
      <w:r w:rsidR="00315185">
        <w:fldChar w:fldCharType="begin"/>
      </w:r>
      <w:r w:rsidR="00315185">
        <w:instrText xml:space="preserve"> HYPERLINK "http://dx.doi.org/10.1787/5k44v53w5w47-en" \t "_bla</w:instrText>
      </w:r>
      <w:r w:rsidR="00315185">
        <w:instrText xml:space="preserve">nk" \o "http://dx.doi.org/10.1787/5k44v53w5w47-en" </w:instrText>
      </w:r>
      <w:r w:rsidR="00315185">
        <w:fldChar w:fldCharType="separate"/>
      </w:r>
      <w:r w:rsidRPr="00306221">
        <w:rPr>
          <w:rStyle w:val="Hipervnculo"/>
          <w:color w:val="0000FF"/>
          <w:u w:val="single"/>
          <w:lang w:val="en"/>
        </w:rPr>
        <w:t>http://dx.doi.org/10.1787/5k44v53w5w47-en</w:t>
      </w:r>
      <w:r w:rsidR="00315185">
        <w:rPr>
          <w:rStyle w:val="Hipervnculo"/>
          <w:color w:val="0000FF"/>
          <w:u w:val="single"/>
          <w:lang w:val="en"/>
        </w:rPr>
        <w:fldChar w:fldCharType="end"/>
      </w:r>
      <w:r w:rsidRPr="001F29F4">
        <w:t>.</w:t>
      </w:r>
    </w:p>
    <w:p w:rsidR="00473421" w:rsidRPr="00450E25" w:rsidRDefault="00473421" w:rsidP="0075163D">
      <w:pPr>
        <w:pStyle w:val="Biblio-Entry"/>
      </w:pPr>
      <w:r w:rsidRPr="00450E25">
        <w:t>Devaux, M. and M. de Looper</w:t>
      </w:r>
      <w:r w:rsidR="00306221">
        <w:t xml:space="preserve"> </w:t>
      </w:r>
      <w:r w:rsidRPr="00450E25">
        <w:t>(2012),</w:t>
      </w:r>
      <w:r>
        <w:t xml:space="preserve"> “</w:t>
      </w:r>
      <w:r w:rsidRPr="00450E25">
        <w:t>Income-Related Inequalities in Health Service Utilisation in 19</w:t>
      </w:r>
      <w:r>
        <w:t> </w:t>
      </w:r>
      <w:r w:rsidRPr="00450E25">
        <w:t>OECD Countries, 2008-2009</w:t>
      </w:r>
      <w:r>
        <w:t>”</w:t>
      </w:r>
      <w:r w:rsidRPr="00450E25">
        <w:t xml:space="preserve">, </w:t>
      </w:r>
      <w:r w:rsidRPr="00450E25">
        <w:rPr>
          <w:rStyle w:val="Enfasis"/>
        </w:rPr>
        <w:t>OECD Health Working Papers</w:t>
      </w:r>
      <w:r w:rsidRPr="00450E25">
        <w:t>, No.</w:t>
      </w:r>
      <w:r>
        <w:t> </w:t>
      </w:r>
      <w:r w:rsidRPr="00450E25">
        <w:t>58, OECD Publishing, Paris</w:t>
      </w:r>
      <w:r>
        <w:t xml:space="preserve">, </w:t>
      </w:r>
      <w:r w:rsidR="00315185">
        <w:fldChar w:fldCharType="begin"/>
      </w:r>
      <w:r w:rsidR="00315185">
        <w:instrText xml:space="preserve"> HYPERLINK "http://dx.doi.org/10.1787/5k95xd6stnxt-en" \t "_blank" \o "http://dx.doi.org/10.1787/5k95xd6stnxt-en" </w:instrText>
      </w:r>
      <w:r w:rsidR="00315185">
        <w:fldChar w:fldCharType="separate"/>
      </w:r>
      <w:r w:rsidRPr="00306221">
        <w:rPr>
          <w:rStyle w:val="Hipervnculo"/>
          <w:color w:val="0000FF"/>
          <w:u w:val="single"/>
          <w:lang w:val="en"/>
        </w:rPr>
        <w:t>http://dx.doi.org/10.1787/5k95xd6stnxt-en</w:t>
      </w:r>
      <w:r w:rsidR="00315185">
        <w:rPr>
          <w:rStyle w:val="Hipervnculo"/>
          <w:color w:val="0000FF"/>
          <w:u w:val="single"/>
          <w:lang w:val="en"/>
        </w:rPr>
        <w:fldChar w:fldCharType="end"/>
      </w:r>
      <w:r w:rsidRPr="00F50E4F">
        <w:rPr>
          <w:color w:val="0000FF"/>
        </w:rPr>
        <w:t>.</w:t>
      </w:r>
    </w:p>
    <w:p w:rsidR="00473421" w:rsidRPr="00450E25" w:rsidRDefault="00473421" w:rsidP="0075163D">
      <w:pPr>
        <w:pStyle w:val="Biblio-Entry"/>
      </w:pPr>
      <w:r w:rsidRPr="00450E25">
        <w:t>Devaux</w:t>
      </w:r>
      <w:r>
        <w:t>,</w:t>
      </w:r>
      <w:r w:rsidRPr="00450E25">
        <w:t xml:space="preserve"> M. and F. Sassi (2015), </w:t>
      </w:r>
      <w:r>
        <w:t>“</w:t>
      </w:r>
      <w:r w:rsidRPr="00450E25">
        <w:t xml:space="preserve">The </w:t>
      </w:r>
      <w:r>
        <w:t>L</w:t>
      </w:r>
      <w:r w:rsidRPr="00450E25">
        <w:t xml:space="preserve">abour </w:t>
      </w:r>
      <w:r>
        <w:t>M</w:t>
      </w:r>
      <w:r w:rsidRPr="00450E25">
        <w:t xml:space="preserve">arket </w:t>
      </w:r>
      <w:r>
        <w:t>I</w:t>
      </w:r>
      <w:r w:rsidRPr="00450E25">
        <w:t xml:space="preserve">mpacts of </w:t>
      </w:r>
      <w:r>
        <w:t>O</w:t>
      </w:r>
      <w:r w:rsidRPr="00450E25">
        <w:t xml:space="preserve">besity, </w:t>
      </w:r>
      <w:r>
        <w:t>S</w:t>
      </w:r>
      <w:r w:rsidRPr="00450E25">
        <w:t xml:space="preserve">moking, </w:t>
      </w:r>
      <w:r>
        <w:t>A</w:t>
      </w:r>
      <w:r w:rsidRPr="00450E25">
        <w:t xml:space="preserve">lcohol </w:t>
      </w:r>
      <w:r>
        <w:t>U</w:t>
      </w:r>
      <w:r w:rsidRPr="00450E25">
        <w:t xml:space="preserve">se and </w:t>
      </w:r>
      <w:r>
        <w:t>R</w:t>
      </w:r>
      <w:r w:rsidRPr="00450E25">
        <w:t xml:space="preserve">elated </w:t>
      </w:r>
      <w:r>
        <w:t>C</w:t>
      </w:r>
      <w:r w:rsidRPr="00450E25">
        <w:t xml:space="preserve">hronic </w:t>
      </w:r>
      <w:r>
        <w:t>D</w:t>
      </w:r>
      <w:r w:rsidRPr="00450E25">
        <w:t>iseases</w:t>
      </w:r>
      <w:r>
        <w:t>”</w:t>
      </w:r>
      <w:r w:rsidRPr="00450E25">
        <w:t xml:space="preserve">, </w:t>
      </w:r>
      <w:r w:rsidRPr="00450E25">
        <w:rPr>
          <w:i/>
        </w:rPr>
        <w:t>OECD Health Working Papers</w:t>
      </w:r>
      <w:r w:rsidRPr="00450E25">
        <w:t>, No 99</w:t>
      </w:r>
      <w:r>
        <w:t xml:space="preserve">, OECD Publishing, Paris, </w:t>
      </w:r>
      <w:r w:rsidR="00315185">
        <w:fldChar w:fldCharType="begin"/>
      </w:r>
      <w:r w:rsidR="00315185">
        <w:instrText xml:space="preserve"> HYPERLINK "http://dx.doi.org/10.1787/5jrqcn5fpv0v-en" \t "_blank" \o "http://dx.doi.org/10.1787/5jrqcn5fpv0v-en" </w:instrText>
      </w:r>
      <w:r w:rsidR="00315185">
        <w:fldChar w:fldCharType="separate"/>
      </w:r>
      <w:r w:rsidRPr="00306221">
        <w:rPr>
          <w:rStyle w:val="Hipervnculo"/>
          <w:color w:val="0000FF"/>
          <w:u w:val="single"/>
          <w:lang w:val="en"/>
        </w:rPr>
        <w:t>http://dx.doi.org/10.1787/5jrqcn5fpv0v-en</w:t>
      </w:r>
      <w:r w:rsidR="00315185">
        <w:rPr>
          <w:rStyle w:val="Hipervnculo"/>
          <w:color w:val="0000FF"/>
          <w:u w:val="single"/>
          <w:lang w:val="en"/>
        </w:rPr>
        <w:fldChar w:fldCharType="end"/>
      </w:r>
      <w:r w:rsidRPr="00F50E4F">
        <w:rPr>
          <w:color w:val="0000FF"/>
        </w:rPr>
        <w:t>.</w:t>
      </w:r>
    </w:p>
    <w:p w:rsidR="00473421" w:rsidRPr="00450E25" w:rsidRDefault="00473421" w:rsidP="0075163D">
      <w:pPr>
        <w:pStyle w:val="Biblio-Entry"/>
      </w:pPr>
      <w:r w:rsidRPr="00450E25">
        <w:t>Espelt, A.</w:t>
      </w:r>
      <w:r>
        <w:t xml:space="preserve"> et al.</w:t>
      </w:r>
      <w:r w:rsidRPr="00450E25">
        <w:t xml:space="preserve"> (2010)</w:t>
      </w:r>
      <w:r>
        <w:t>,</w:t>
      </w:r>
      <w:r w:rsidRPr="00450E25">
        <w:t xml:space="preserve"> </w:t>
      </w:r>
      <w:r>
        <w:t>“</w:t>
      </w:r>
      <w:r w:rsidRPr="00450E25">
        <w:t>Disability Among Older People in a Southern European City in 2006: Trends in Gender and Socioeconomic Inequalities</w:t>
      </w:r>
      <w:r>
        <w:t>”</w:t>
      </w:r>
      <w:r w:rsidRPr="00450E25">
        <w:t xml:space="preserve">, </w:t>
      </w:r>
      <w:r w:rsidRPr="00F50E4F">
        <w:rPr>
          <w:i/>
        </w:rPr>
        <w:t>Journal of Women’s Health</w:t>
      </w:r>
      <w:r w:rsidRPr="00450E25">
        <w:t xml:space="preserve">, </w:t>
      </w:r>
      <w:r>
        <w:t>Vol. </w:t>
      </w:r>
      <w:r w:rsidRPr="00450E25">
        <w:t>19</w:t>
      </w:r>
      <w:r>
        <w:t>, No. </w:t>
      </w:r>
      <w:r w:rsidRPr="00450E25">
        <w:t>5.</w:t>
      </w:r>
    </w:p>
    <w:p w:rsidR="00473421" w:rsidRDefault="00473421" w:rsidP="0075163D">
      <w:pPr>
        <w:pStyle w:val="Biblio-Entry"/>
      </w:pPr>
      <w:r>
        <w:t xml:space="preserve">Fernald, A., V. Marchman and A. Weisleder (2013), “SES Differences in Language Processing Skill and Vocabulary Are Evident at 18 Months”, </w:t>
      </w:r>
      <w:r>
        <w:rPr>
          <w:i/>
          <w:iCs/>
        </w:rPr>
        <w:t>Developmental Science</w:t>
      </w:r>
      <w:r w:rsidRPr="00F50E4F">
        <w:rPr>
          <w:iCs/>
        </w:rPr>
        <w:t>,</w:t>
      </w:r>
      <w:r>
        <w:rPr>
          <w:i/>
          <w:iCs/>
        </w:rPr>
        <w:t xml:space="preserve"> </w:t>
      </w:r>
      <w:r>
        <w:t>Vol. 16, No. 2, pp. 234-248.</w:t>
      </w:r>
    </w:p>
    <w:p w:rsidR="00473421" w:rsidRPr="00A94DAC" w:rsidRDefault="00473421" w:rsidP="0075163D">
      <w:pPr>
        <w:pStyle w:val="Biblio-Entry"/>
        <w:rPr>
          <w:color w:val="222222"/>
          <w:lang w:eastAsia="en-GB"/>
        </w:rPr>
      </w:pPr>
      <w:r w:rsidRPr="00F50E4F">
        <w:rPr>
          <w:color w:val="222222"/>
          <w:lang w:val="fr-FR" w:eastAsia="en-GB"/>
        </w:rPr>
        <w:t xml:space="preserve">Gallo, W.T. et al. </w:t>
      </w:r>
      <w:r w:rsidRPr="00A94DAC">
        <w:rPr>
          <w:color w:val="222222"/>
          <w:lang w:eastAsia="en-GB"/>
        </w:rPr>
        <w:t xml:space="preserve">(2000), </w:t>
      </w:r>
      <w:r>
        <w:rPr>
          <w:color w:val="222222"/>
          <w:lang w:eastAsia="en-GB"/>
        </w:rPr>
        <w:t>“</w:t>
      </w:r>
      <w:r w:rsidRPr="00A94DAC">
        <w:rPr>
          <w:color w:val="222222"/>
          <w:lang w:eastAsia="en-GB"/>
        </w:rPr>
        <w:t xml:space="preserve">Health </w:t>
      </w:r>
      <w:r>
        <w:rPr>
          <w:color w:val="222222"/>
          <w:lang w:eastAsia="en-GB"/>
        </w:rPr>
        <w:t>E</w:t>
      </w:r>
      <w:r w:rsidRPr="00A94DAC">
        <w:rPr>
          <w:color w:val="222222"/>
          <w:lang w:eastAsia="en-GB"/>
        </w:rPr>
        <w:t xml:space="preserve">ffects of </w:t>
      </w:r>
      <w:r>
        <w:rPr>
          <w:color w:val="222222"/>
          <w:lang w:eastAsia="en-GB"/>
        </w:rPr>
        <w:t>Involuntary Job L</w:t>
      </w:r>
      <w:r w:rsidRPr="00A94DAC">
        <w:rPr>
          <w:color w:val="222222"/>
          <w:lang w:eastAsia="en-GB"/>
        </w:rPr>
        <w:t xml:space="preserve">oss </w:t>
      </w:r>
      <w:r>
        <w:rPr>
          <w:color w:val="222222"/>
          <w:lang w:eastAsia="en-GB"/>
        </w:rPr>
        <w:t>A</w:t>
      </w:r>
      <w:r w:rsidRPr="00A94DAC">
        <w:rPr>
          <w:color w:val="222222"/>
          <w:lang w:eastAsia="en-GB"/>
        </w:rPr>
        <w:t xml:space="preserve">mong </w:t>
      </w:r>
      <w:r>
        <w:rPr>
          <w:color w:val="222222"/>
          <w:lang w:eastAsia="en-GB"/>
        </w:rPr>
        <w:t>O</w:t>
      </w:r>
      <w:r w:rsidRPr="00A94DAC">
        <w:rPr>
          <w:color w:val="222222"/>
          <w:lang w:eastAsia="en-GB"/>
        </w:rPr>
        <w:t xml:space="preserve">lder </w:t>
      </w:r>
      <w:r>
        <w:rPr>
          <w:color w:val="222222"/>
          <w:lang w:eastAsia="en-GB"/>
        </w:rPr>
        <w:t>W</w:t>
      </w:r>
      <w:r w:rsidRPr="00A94DAC">
        <w:rPr>
          <w:color w:val="222222"/>
          <w:lang w:eastAsia="en-GB"/>
        </w:rPr>
        <w:t xml:space="preserve">orkers </w:t>
      </w:r>
      <w:r>
        <w:rPr>
          <w:color w:val="222222"/>
          <w:lang w:eastAsia="en-GB"/>
        </w:rPr>
        <w:t>F</w:t>
      </w:r>
      <w:r w:rsidRPr="00A94DAC">
        <w:rPr>
          <w:color w:val="222222"/>
          <w:lang w:eastAsia="en-GB"/>
        </w:rPr>
        <w:t xml:space="preserve">indings from the </w:t>
      </w:r>
      <w:r>
        <w:rPr>
          <w:color w:val="222222"/>
          <w:lang w:eastAsia="en-GB"/>
        </w:rPr>
        <w:t>H</w:t>
      </w:r>
      <w:r w:rsidRPr="00A94DAC">
        <w:rPr>
          <w:color w:val="222222"/>
          <w:lang w:eastAsia="en-GB"/>
        </w:rPr>
        <w:t xml:space="preserve">ealth and </w:t>
      </w:r>
      <w:r>
        <w:rPr>
          <w:color w:val="222222"/>
          <w:lang w:eastAsia="en-GB"/>
        </w:rPr>
        <w:t>R</w:t>
      </w:r>
      <w:r w:rsidRPr="00A94DAC">
        <w:rPr>
          <w:color w:val="222222"/>
          <w:lang w:eastAsia="en-GB"/>
        </w:rPr>
        <w:t xml:space="preserve">etirement </w:t>
      </w:r>
      <w:r>
        <w:rPr>
          <w:color w:val="222222"/>
          <w:lang w:eastAsia="en-GB"/>
        </w:rPr>
        <w:t>S</w:t>
      </w:r>
      <w:r w:rsidRPr="00A94DAC">
        <w:rPr>
          <w:color w:val="222222"/>
          <w:lang w:eastAsia="en-GB"/>
        </w:rPr>
        <w:t>urvey</w:t>
      </w:r>
      <w:r>
        <w:rPr>
          <w:color w:val="222222"/>
          <w:lang w:eastAsia="en-GB"/>
        </w:rPr>
        <w:t>”,</w:t>
      </w:r>
      <w:r w:rsidRPr="00A94DAC">
        <w:rPr>
          <w:i/>
          <w:iCs/>
          <w:color w:val="222222"/>
          <w:lang w:eastAsia="en-GB"/>
        </w:rPr>
        <w:t xml:space="preserve"> Journals of Gerontology Series B: Psychological Sciences and Social Sciences</w:t>
      </w:r>
      <w:r>
        <w:rPr>
          <w:iCs/>
          <w:color w:val="222222"/>
          <w:lang w:eastAsia="en-GB"/>
        </w:rPr>
        <w:t>,</w:t>
      </w:r>
      <w:r w:rsidRPr="00A94DAC">
        <w:rPr>
          <w:color w:val="222222"/>
          <w:lang w:eastAsia="en-GB"/>
        </w:rPr>
        <w:t xml:space="preserve"> </w:t>
      </w:r>
      <w:r>
        <w:rPr>
          <w:color w:val="222222"/>
          <w:lang w:eastAsia="en-GB"/>
        </w:rPr>
        <w:t>Vol. </w:t>
      </w:r>
      <w:r w:rsidRPr="00A94DAC">
        <w:rPr>
          <w:color w:val="222222"/>
          <w:lang w:eastAsia="en-GB"/>
        </w:rPr>
        <w:t>55</w:t>
      </w:r>
      <w:r>
        <w:rPr>
          <w:color w:val="222222"/>
          <w:lang w:eastAsia="en-GB"/>
        </w:rPr>
        <w:t>, No. </w:t>
      </w:r>
      <w:r w:rsidRPr="00A94DAC">
        <w:rPr>
          <w:color w:val="222222"/>
          <w:lang w:eastAsia="en-GB"/>
        </w:rPr>
        <w:t>3</w:t>
      </w:r>
      <w:r>
        <w:rPr>
          <w:color w:val="222222"/>
          <w:lang w:eastAsia="en-GB"/>
        </w:rPr>
        <w:t>, pp. </w:t>
      </w:r>
      <w:r w:rsidRPr="00A94DAC">
        <w:rPr>
          <w:color w:val="222222"/>
          <w:lang w:eastAsia="en-GB"/>
        </w:rPr>
        <w:t>S131-S140.</w:t>
      </w:r>
    </w:p>
    <w:p w:rsidR="00473421" w:rsidRPr="00304520" w:rsidRDefault="00473421" w:rsidP="0075163D">
      <w:pPr>
        <w:pStyle w:val="Biblio-Entry"/>
      </w:pPr>
      <w:r w:rsidRPr="00F21B2D">
        <w:t xml:space="preserve">García, J.L. et al. </w:t>
      </w:r>
      <w:r w:rsidRPr="00304520">
        <w:t xml:space="preserve">(2016), “The </w:t>
      </w:r>
      <w:r>
        <w:t>L</w:t>
      </w:r>
      <w:r w:rsidRPr="00304520">
        <w:t xml:space="preserve">ife-cycle </w:t>
      </w:r>
      <w:r>
        <w:t>B</w:t>
      </w:r>
      <w:r w:rsidRPr="00304520">
        <w:t xml:space="preserve">enefits of an Influential Early Childhood Program”, </w:t>
      </w:r>
      <w:r w:rsidRPr="00F50E4F">
        <w:rPr>
          <w:i/>
        </w:rPr>
        <w:t>NBER Working Papers</w:t>
      </w:r>
      <w:r>
        <w:t>,</w:t>
      </w:r>
      <w:r w:rsidRPr="00304520">
        <w:t xml:space="preserve"> No. 22993</w:t>
      </w:r>
      <w:r>
        <w:t xml:space="preserve">, </w:t>
      </w:r>
      <w:r w:rsidRPr="00304520">
        <w:t>National Bureau of Economic Research,</w:t>
      </w:r>
      <w:r>
        <w:t xml:space="preserve"> Cambridge, United States</w:t>
      </w:r>
      <w:r w:rsidRPr="00304520">
        <w:t>.</w:t>
      </w:r>
    </w:p>
    <w:p w:rsidR="00473421" w:rsidRPr="00450E25" w:rsidRDefault="00473421" w:rsidP="0075163D">
      <w:pPr>
        <w:pStyle w:val="Biblio-Entry"/>
      </w:pPr>
      <w:r w:rsidRPr="00450E25">
        <w:t>George</w:t>
      </w:r>
      <w:r>
        <w:t>,</w:t>
      </w:r>
      <w:r w:rsidRPr="00450E25">
        <w:t xml:space="preserve"> L.K. and K.F. Ferraro (2016), “Aging and the Social Sciences: Progress and Prospects”, in L.K.</w:t>
      </w:r>
      <w:r>
        <w:t> </w:t>
      </w:r>
      <w:r w:rsidRPr="00450E25">
        <w:t>George and K.F. Ferraro (</w:t>
      </w:r>
      <w:r>
        <w:t>e</w:t>
      </w:r>
      <w:r w:rsidRPr="00450E25">
        <w:t>ds</w:t>
      </w:r>
      <w:r>
        <w:t>.</w:t>
      </w:r>
      <w:r w:rsidRPr="00450E25">
        <w:t xml:space="preserve">), </w:t>
      </w:r>
      <w:r w:rsidRPr="00450E25">
        <w:rPr>
          <w:i/>
        </w:rPr>
        <w:t>Handbook of Aging and the Social Sciences</w:t>
      </w:r>
      <w:r w:rsidRPr="00450E25">
        <w:t>, Eight edition, Chapter</w:t>
      </w:r>
      <w:r>
        <w:t> </w:t>
      </w:r>
      <w:r w:rsidRPr="00450E25">
        <w:t>1.</w:t>
      </w:r>
    </w:p>
    <w:p w:rsidR="00473421" w:rsidRPr="00450E25" w:rsidRDefault="00473421" w:rsidP="0075163D">
      <w:pPr>
        <w:pStyle w:val="Biblio-Entry"/>
      </w:pPr>
      <w:r w:rsidRPr="00450E25">
        <w:t xml:space="preserve">Glied, S. </w:t>
      </w:r>
      <w:r>
        <w:t xml:space="preserve">and A. </w:t>
      </w:r>
      <w:r w:rsidRPr="00450E25">
        <w:t xml:space="preserve">Lleras-Muney (2008), “Technological </w:t>
      </w:r>
      <w:r>
        <w:t>I</w:t>
      </w:r>
      <w:r w:rsidRPr="00450E25">
        <w:t xml:space="preserve">nnovation and </w:t>
      </w:r>
      <w:r>
        <w:t>I</w:t>
      </w:r>
      <w:r w:rsidRPr="00450E25">
        <w:t xml:space="preserve">nequality in </w:t>
      </w:r>
      <w:r>
        <w:t>H</w:t>
      </w:r>
      <w:r w:rsidRPr="00450E25">
        <w:t>ealth”</w:t>
      </w:r>
      <w:r>
        <w:t>,</w:t>
      </w:r>
      <w:r w:rsidRPr="00450E25">
        <w:t xml:space="preserve"> </w:t>
      </w:r>
      <w:r w:rsidRPr="00450E25">
        <w:rPr>
          <w:i/>
        </w:rPr>
        <w:t>Demography</w:t>
      </w:r>
      <w:r w:rsidRPr="00450E25">
        <w:t xml:space="preserve">, </w:t>
      </w:r>
      <w:r>
        <w:t>Vol. </w:t>
      </w:r>
      <w:r w:rsidRPr="00450E25">
        <w:t>45</w:t>
      </w:r>
      <w:r>
        <w:t>, No. 3, pp. </w:t>
      </w:r>
      <w:r w:rsidRPr="00450E25">
        <w:t>741</w:t>
      </w:r>
      <w:r>
        <w:t>-761</w:t>
      </w:r>
      <w:r w:rsidRPr="00450E25">
        <w:t xml:space="preserve">. </w:t>
      </w:r>
    </w:p>
    <w:p w:rsidR="00473421" w:rsidRPr="00450E25" w:rsidRDefault="00473421" w:rsidP="0075163D">
      <w:pPr>
        <w:pStyle w:val="Biblio-Entry"/>
        <w:rPr>
          <w:i/>
        </w:rPr>
      </w:pPr>
      <w:r w:rsidRPr="00087B8F">
        <w:rPr>
          <w:lang w:val="it-IT"/>
        </w:rPr>
        <w:t>Goldman</w:t>
      </w:r>
      <w:r>
        <w:rPr>
          <w:lang w:val="it-IT"/>
        </w:rPr>
        <w:t>,</w:t>
      </w:r>
      <w:r w:rsidRPr="00087B8F">
        <w:rPr>
          <w:lang w:val="it-IT"/>
        </w:rPr>
        <w:t xml:space="preserve"> D.</w:t>
      </w:r>
      <w:r>
        <w:rPr>
          <w:lang w:val="it-IT"/>
        </w:rPr>
        <w:t xml:space="preserve"> et al.</w:t>
      </w:r>
      <w:r w:rsidRPr="00450E25">
        <w:t xml:space="preserve"> (2009), “The Benefit of Risk Factor Prevention in Americans Aged 51 Years and Older”, </w:t>
      </w:r>
      <w:r w:rsidRPr="00450E25">
        <w:rPr>
          <w:i/>
        </w:rPr>
        <w:t>American Journal of Public Health</w:t>
      </w:r>
      <w:r w:rsidRPr="00F50E4F">
        <w:t>,</w:t>
      </w:r>
      <w:r w:rsidRPr="00450E25">
        <w:rPr>
          <w:i/>
        </w:rPr>
        <w:t xml:space="preserve"> </w:t>
      </w:r>
      <w:r w:rsidRPr="00450E25">
        <w:t>Vol.</w:t>
      </w:r>
      <w:r>
        <w:t> </w:t>
      </w:r>
      <w:r w:rsidRPr="00450E25">
        <w:t>99, No. 11</w:t>
      </w:r>
      <w:r w:rsidRPr="00450E25">
        <w:rPr>
          <w:i/>
        </w:rPr>
        <w:t>.</w:t>
      </w:r>
    </w:p>
    <w:p w:rsidR="00473421" w:rsidRPr="00D51EBF" w:rsidRDefault="00315185" w:rsidP="0075163D">
      <w:pPr>
        <w:pStyle w:val="Biblio-Entry"/>
      </w:pPr>
      <w:hyperlink r:id="rId91" w:history="1">
        <w:r w:rsidR="00473421" w:rsidRPr="00D51EBF">
          <w:rPr>
            <w:rStyle w:val="personname3"/>
          </w:rPr>
          <w:t>Harkness, S.</w:t>
        </w:r>
      </w:hyperlink>
      <w:r w:rsidR="00473421" w:rsidRPr="00D51EBF">
        <w:t xml:space="preserve"> (2013), “Women</w:t>
      </w:r>
      <w:r w:rsidR="00473421">
        <w:t>’</w:t>
      </w:r>
      <w:r w:rsidR="00473421" w:rsidRPr="00D51EBF">
        <w:t xml:space="preserve">s </w:t>
      </w:r>
      <w:r w:rsidR="00473421">
        <w:t>E</w:t>
      </w:r>
      <w:r w:rsidR="00473421" w:rsidRPr="00D51EBF">
        <w:t xml:space="preserve">mployment and </w:t>
      </w:r>
      <w:r w:rsidR="00473421">
        <w:t>Household Income I</w:t>
      </w:r>
      <w:r w:rsidR="00473421" w:rsidRPr="00D51EBF">
        <w:t>nequality”</w:t>
      </w:r>
      <w:r w:rsidR="00473421">
        <w:t>, in</w:t>
      </w:r>
      <w:r w:rsidR="00473421" w:rsidRPr="00D51EBF">
        <w:t xml:space="preserve"> </w:t>
      </w:r>
      <w:r w:rsidR="00473421">
        <w:t xml:space="preserve">J. </w:t>
      </w:r>
      <w:r w:rsidR="00473421" w:rsidRPr="00D51EBF">
        <w:rPr>
          <w:rStyle w:val="personname3"/>
        </w:rPr>
        <w:t>Gornick</w:t>
      </w:r>
      <w:r w:rsidR="00473421">
        <w:rPr>
          <w:rStyle w:val="personname3"/>
        </w:rPr>
        <w:t xml:space="preserve"> and M. </w:t>
      </w:r>
      <w:r w:rsidR="00473421" w:rsidRPr="00D51EBF">
        <w:rPr>
          <w:rStyle w:val="personname3"/>
        </w:rPr>
        <w:t>Jantii</w:t>
      </w:r>
      <w:r w:rsidR="00473421">
        <w:rPr>
          <w:rStyle w:val="personname3"/>
        </w:rPr>
        <w:t xml:space="preserve"> (eds.),</w:t>
      </w:r>
      <w:r w:rsidR="00473421" w:rsidRPr="00D51EBF">
        <w:t xml:space="preserve"> </w:t>
      </w:r>
      <w:r w:rsidR="00473421" w:rsidRPr="00D51EBF">
        <w:rPr>
          <w:rStyle w:val="Enfasis"/>
        </w:rPr>
        <w:t>Income Inequality: Economic Disparities and the Middle Class in Affluent Countries</w:t>
      </w:r>
      <w:r w:rsidR="00473421" w:rsidRPr="00F50E4F">
        <w:rPr>
          <w:rStyle w:val="Enfasis"/>
        </w:rPr>
        <w:t>,</w:t>
      </w:r>
      <w:r w:rsidR="00473421" w:rsidRPr="00D51EBF">
        <w:t xml:space="preserve"> Stanford University Press, Stanford, </w:t>
      </w:r>
      <w:r w:rsidR="00473421">
        <w:t xml:space="preserve">United States, </w:t>
      </w:r>
      <w:r w:rsidR="00473421" w:rsidRPr="00D51EBF">
        <w:t>pp.</w:t>
      </w:r>
      <w:r w:rsidR="00473421">
        <w:t> </w:t>
      </w:r>
      <w:r w:rsidR="00473421" w:rsidRPr="00D51EBF">
        <w:t>207-233.</w:t>
      </w:r>
    </w:p>
    <w:p w:rsidR="00473421" w:rsidRDefault="00473421" w:rsidP="0075163D">
      <w:pPr>
        <w:pStyle w:val="Biblio-Entry"/>
      </w:pPr>
      <w:r w:rsidRPr="00450E25">
        <w:t xml:space="preserve">Heckman, J. and P. Carneiro (2003), “Human Capital Policy”, </w:t>
      </w:r>
      <w:r>
        <w:t xml:space="preserve">in </w:t>
      </w:r>
      <w:r w:rsidRPr="00450E25">
        <w:t>Heckman, J. and A. Krueger (eds.)</w:t>
      </w:r>
      <w:r>
        <w:t xml:space="preserve">, </w:t>
      </w:r>
      <w:r w:rsidRPr="00AB3514">
        <w:rPr>
          <w:i/>
        </w:rPr>
        <w:t>Inequality in America: What Role for</w:t>
      </w:r>
      <w:r>
        <w:rPr>
          <w:i/>
        </w:rPr>
        <w:t xml:space="preserve"> </w:t>
      </w:r>
      <w:r w:rsidRPr="00AB3514">
        <w:rPr>
          <w:i/>
        </w:rPr>
        <w:t>Human Capital Policy?</w:t>
      </w:r>
      <w:r w:rsidRPr="00450E25">
        <w:t>, MIT Press.</w:t>
      </w:r>
    </w:p>
    <w:p w:rsidR="00473421" w:rsidRDefault="00473421" w:rsidP="0075163D">
      <w:pPr>
        <w:pStyle w:val="Biblio-Entry"/>
        <w:rPr>
          <w:lang w:val="en"/>
        </w:rPr>
      </w:pPr>
      <w:r>
        <w:rPr>
          <w:lang w:val="en"/>
        </w:rPr>
        <w:t xml:space="preserve">Herd, P. (2006), “Do Functional Health Inequalities Decrease in Old Age? Educational Status and Functional Decline Among the 1931-1941 Birth Cohort“, </w:t>
      </w:r>
      <w:r>
        <w:rPr>
          <w:i/>
          <w:iCs/>
          <w:lang w:val="en"/>
        </w:rPr>
        <w:t>Research on Aging</w:t>
      </w:r>
      <w:r>
        <w:rPr>
          <w:lang w:val="en"/>
        </w:rPr>
        <w:t>, Vol. 28, No. 3, pp. 375-392.</w:t>
      </w:r>
    </w:p>
    <w:p w:rsidR="00473421" w:rsidRDefault="00473421" w:rsidP="0075163D">
      <w:pPr>
        <w:pStyle w:val="Biblio-Entry"/>
      </w:pPr>
      <w:r>
        <w:t xml:space="preserve">Hidajat, M.M., M.D. Hayward and Y. Saito (2007), “Indonesia’s Social Capacity for Population Health: The Educational Gap in Active Life Expectancy”, </w:t>
      </w:r>
      <w:r>
        <w:rPr>
          <w:i/>
          <w:iCs/>
        </w:rPr>
        <w:t>Population Research and Policy Review</w:t>
      </w:r>
      <w:r>
        <w:rPr>
          <w:iCs/>
        </w:rPr>
        <w:t>,</w:t>
      </w:r>
      <w:r>
        <w:t xml:space="preserve"> Vol. 26, No. 2, pp. 219-234.</w:t>
      </w:r>
    </w:p>
    <w:p w:rsidR="00473421" w:rsidRDefault="00473421" w:rsidP="0075163D">
      <w:pPr>
        <w:pStyle w:val="Biblio-Entry"/>
      </w:pPr>
      <w:r>
        <w:t xml:space="preserve">ILC Global Alliance (2009), “Global Aging Report: Threats to Longevity”, </w:t>
      </w:r>
      <w:r>
        <w:rPr>
          <w:i/>
          <w:iCs/>
        </w:rPr>
        <w:t>International Longevity Centre Global Alliance Publication</w:t>
      </w:r>
      <w:r>
        <w:t>.</w:t>
      </w:r>
    </w:p>
    <w:p w:rsidR="00473421" w:rsidRDefault="00473421" w:rsidP="0075163D">
      <w:pPr>
        <w:pStyle w:val="Biblio-Entry"/>
      </w:pPr>
      <w:r w:rsidRPr="00882B13">
        <w:t xml:space="preserve">Inchley, J. et </w:t>
      </w:r>
      <w:r>
        <w:t>al. (2016</w:t>
      </w:r>
      <w:r w:rsidRPr="008C1FAE">
        <w:t xml:space="preserve">), </w:t>
      </w:r>
      <w:r>
        <w:t>“</w:t>
      </w:r>
      <w:r w:rsidRPr="008C1FAE">
        <w:rPr>
          <w:iCs/>
        </w:rPr>
        <w:t>Growing Up Unequal: Gender and Socioeconomic Differences in Young People’s Health and Well-being</w:t>
      </w:r>
      <w:r>
        <w:rPr>
          <w:iCs/>
        </w:rPr>
        <w:t>”</w:t>
      </w:r>
      <w:r w:rsidRPr="008C1FAE">
        <w:t>,</w:t>
      </w:r>
      <w:r w:rsidRPr="00882B13">
        <w:t xml:space="preserve"> </w:t>
      </w:r>
      <w:r w:rsidRPr="008C1FAE">
        <w:rPr>
          <w:i/>
        </w:rPr>
        <w:t>Health Policy for Children and Adolescents</w:t>
      </w:r>
      <w:r w:rsidRPr="00882B13">
        <w:t>, No.</w:t>
      </w:r>
      <w:r>
        <w:t> </w:t>
      </w:r>
      <w:r w:rsidRPr="00882B13">
        <w:t>7, World Health Organisation –</w:t>
      </w:r>
      <w:r>
        <w:t xml:space="preserve"> </w:t>
      </w:r>
      <w:r w:rsidRPr="00882B13">
        <w:t>Europe.</w:t>
      </w:r>
    </w:p>
    <w:p w:rsidR="00473421" w:rsidRPr="00882B13" w:rsidRDefault="00473421" w:rsidP="0075163D">
      <w:pPr>
        <w:pStyle w:val="Biblio-Entry"/>
        <w:rPr>
          <w:bCs/>
        </w:rPr>
      </w:pPr>
      <w:r w:rsidRPr="00882B13">
        <w:rPr>
          <w:bCs/>
        </w:rPr>
        <w:t xml:space="preserve">James, E. (2009), </w:t>
      </w:r>
      <w:r w:rsidRPr="00882B13">
        <w:t xml:space="preserve">“Rethinking Survivor Benefits”, </w:t>
      </w:r>
      <w:r w:rsidRPr="00882B13">
        <w:rPr>
          <w:i/>
          <w:iCs/>
        </w:rPr>
        <w:t>Social Protection and Labor Discussion Paper</w:t>
      </w:r>
      <w:r w:rsidRPr="00882B13">
        <w:t>, No.</w:t>
      </w:r>
      <w:r>
        <w:t> </w:t>
      </w:r>
      <w:r w:rsidRPr="00882B13">
        <w:t>928</w:t>
      </w:r>
      <w:r>
        <w:t xml:space="preserve">, </w:t>
      </w:r>
      <w:r w:rsidRPr="00882B13">
        <w:t>World Bank.</w:t>
      </w:r>
    </w:p>
    <w:p w:rsidR="00473421" w:rsidRPr="00450E25" w:rsidRDefault="00473421" w:rsidP="0075163D">
      <w:pPr>
        <w:pStyle w:val="Biblio-Entry"/>
        <w:rPr>
          <w:bCs/>
        </w:rPr>
      </w:pPr>
      <w:r w:rsidRPr="0025308F">
        <w:rPr>
          <w:bCs/>
        </w:rPr>
        <w:t>James</w:t>
      </w:r>
      <w:r>
        <w:rPr>
          <w:bCs/>
        </w:rPr>
        <w:t>,</w:t>
      </w:r>
      <w:r w:rsidRPr="0025308F">
        <w:rPr>
          <w:bCs/>
        </w:rPr>
        <w:t xml:space="preserve"> C., </w:t>
      </w:r>
      <w:r>
        <w:rPr>
          <w:bCs/>
        </w:rPr>
        <w:t xml:space="preserve">M. </w:t>
      </w:r>
      <w:r w:rsidRPr="0025308F">
        <w:rPr>
          <w:bCs/>
        </w:rPr>
        <w:t xml:space="preserve">Devaux and F. </w:t>
      </w:r>
      <w:r w:rsidRPr="00450E25">
        <w:rPr>
          <w:bCs/>
        </w:rPr>
        <w:t xml:space="preserve">Sassi (2016), </w:t>
      </w:r>
      <w:r>
        <w:rPr>
          <w:bCs/>
        </w:rPr>
        <w:t>“</w:t>
      </w:r>
      <w:r w:rsidRPr="00450E25">
        <w:rPr>
          <w:bCs/>
        </w:rPr>
        <w:t>Health and Inclusive Growth</w:t>
      </w:r>
      <w:r>
        <w:rPr>
          <w:bCs/>
        </w:rPr>
        <w:t>”</w:t>
      </w:r>
      <w:r w:rsidRPr="00450E25">
        <w:rPr>
          <w:bCs/>
        </w:rPr>
        <w:t xml:space="preserve">, </w:t>
      </w:r>
      <w:r w:rsidRPr="00450E25">
        <w:rPr>
          <w:bCs/>
          <w:i/>
        </w:rPr>
        <w:t>OECD Health Working Papers</w:t>
      </w:r>
      <w:r w:rsidRPr="00450E25">
        <w:rPr>
          <w:bCs/>
        </w:rPr>
        <w:t>, forthcoming.</w:t>
      </w:r>
    </w:p>
    <w:p w:rsidR="00473421" w:rsidRDefault="00473421" w:rsidP="0075163D">
      <w:pPr>
        <w:pStyle w:val="Biblio-Entry"/>
      </w:pPr>
      <w:r w:rsidRPr="00E43AC6">
        <w:t>Kautz, T. et al.</w:t>
      </w:r>
      <w:r w:rsidRPr="00876BED">
        <w:t xml:space="preserve"> </w:t>
      </w:r>
      <w:r>
        <w:t xml:space="preserve">(2014), “Fostering and Measuring Skills: Improving Cognitive and Non-cognitive Skills to Promote Lifetime Success”, </w:t>
      </w:r>
      <w:r w:rsidRPr="00876BED">
        <w:rPr>
          <w:i/>
        </w:rPr>
        <w:t>OECD Education Working Papers</w:t>
      </w:r>
      <w:r>
        <w:t xml:space="preserve">, No. 110, OECD Publishing, Paris, </w:t>
      </w:r>
      <w:r w:rsidR="00315185">
        <w:fldChar w:fldCharType="begin"/>
      </w:r>
      <w:r w:rsidR="00315185">
        <w:instrText xml:space="preserve"> HYPERLINK "http://dx.doi.org/10.1787/5jxsr7vr78f7-en" \t "_blank" \o "http://dx.doi.org/10.1787/5jxsr7vr78f7-en" </w:instrText>
      </w:r>
      <w:r w:rsidR="00315185">
        <w:fldChar w:fldCharType="separate"/>
      </w:r>
      <w:r w:rsidRPr="00306221">
        <w:rPr>
          <w:rStyle w:val="Hipervnculo"/>
          <w:color w:val="0000FF"/>
          <w:u w:val="single"/>
          <w:lang w:val="en"/>
        </w:rPr>
        <w:t>http://dx.doi.org/10.1787/5jxsr7vr78f7-en</w:t>
      </w:r>
      <w:r w:rsidR="00315185">
        <w:rPr>
          <w:rStyle w:val="Hipervnculo"/>
          <w:color w:val="0000FF"/>
          <w:u w:val="single"/>
          <w:lang w:val="en"/>
        </w:rPr>
        <w:fldChar w:fldCharType="end"/>
      </w:r>
      <w:r w:rsidRPr="008C1FAE">
        <w:rPr>
          <w:color w:val="0000FF"/>
          <w:lang w:val="en"/>
        </w:rPr>
        <w:t>.</w:t>
      </w:r>
    </w:p>
    <w:p w:rsidR="00473421" w:rsidRPr="00A94DAC" w:rsidRDefault="00473421" w:rsidP="0075163D">
      <w:pPr>
        <w:pStyle w:val="Biblio-Entry"/>
      </w:pPr>
      <w:r w:rsidRPr="00A94DAC">
        <w:t>Kryńska, E.</w:t>
      </w:r>
      <w:r>
        <w:t xml:space="preserve"> et al.</w:t>
      </w:r>
      <w:r w:rsidRPr="00A94DAC">
        <w:t xml:space="preserve"> (eds.)</w:t>
      </w:r>
      <w:r>
        <w:t xml:space="preserve"> </w:t>
      </w:r>
      <w:r w:rsidRPr="00A94DAC">
        <w:t xml:space="preserve">(2013), </w:t>
      </w:r>
      <w:r w:rsidRPr="00A94DAC">
        <w:rPr>
          <w:i/>
          <w:iCs/>
        </w:rPr>
        <w:t>Diagnosis of the Current Situation of Women and Men Aged 50+ on the Labour Market in Poland: Final Report</w:t>
      </w:r>
      <w:r w:rsidRPr="00A94DAC">
        <w:t>, University of Lodz.</w:t>
      </w:r>
    </w:p>
    <w:p w:rsidR="00473421" w:rsidRDefault="00473421" w:rsidP="0075163D">
      <w:pPr>
        <w:pStyle w:val="Biblio-Entry"/>
      </w:pPr>
      <w:r>
        <w:t xml:space="preserve">Messias, E. (2003), “Income Inequality, Illiteracy Rate, and Life Expectancy in Brazil”, </w:t>
      </w:r>
      <w:r>
        <w:rPr>
          <w:i/>
          <w:iCs/>
        </w:rPr>
        <w:t>American Journal of Public Health</w:t>
      </w:r>
      <w:r>
        <w:t>, Vol. 93, No. 8.</w:t>
      </w:r>
    </w:p>
    <w:p w:rsidR="00473421" w:rsidRDefault="00473421" w:rsidP="0075163D">
      <w:pPr>
        <w:pStyle w:val="Biblio-Entry"/>
      </w:pPr>
      <w:r>
        <w:t xml:space="preserve">Mondal, N.I. and M. Shitan (2013), “Relative Importance of Demographic, Socioeconomic and Health Factors on Life Expectancy in Low- and Lower-Middle-Income Countries”, </w:t>
      </w:r>
      <w:r>
        <w:rPr>
          <w:i/>
          <w:iCs/>
        </w:rPr>
        <w:t>Journal of Epidemiology</w:t>
      </w:r>
      <w:r w:rsidRPr="008C1FAE">
        <w:rPr>
          <w:iCs/>
        </w:rPr>
        <w:t>,</w:t>
      </w:r>
      <w:r>
        <w:rPr>
          <w:i/>
          <w:iCs/>
        </w:rPr>
        <w:t xml:space="preserve"> </w:t>
      </w:r>
      <w:r>
        <w:t>Vol. 24, No. 2, pp. 117-124.</w:t>
      </w:r>
    </w:p>
    <w:p w:rsidR="00473421" w:rsidRPr="002C7E91" w:rsidRDefault="00473421" w:rsidP="0075163D">
      <w:pPr>
        <w:pStyle w:val="Biblio-Entry"/>
      </w:pPr>
      <w:r w:rsidRPr="002C7E91">
        <w:t xml:space="preserve">Muir, T. (2017), </w:t>
      </w:r>
      <w:r>
        <w:t>“</w:t>
      </w:r>
      <w:r>
        <w:rPr>
          <w:lang w:val="en"/>
        </w:rPr>
        <w:t xml:space="preserve">Measuring Social Protection for Long-term Care”, </w:t>
      </w:r>
      <w:r>
        <w:rPr>
          <w:rStyle w:val="Enfasis"/>
          <w:lang w:val="en"/>
        </w:rPr>
        <w:t>OECD Health Working Papers</w:t>
      </w:r>
      <w:r>
        <w:rPr>
          <w:lang w:val="en"/>
        </w:rPr>
        <w:t xml:space="preserve">, No. 93, OECD Publishing, Paris, </w:t>
      </w:r>
      <w:r w:rsidR="00315185">
        <w:fldChar w:fldCharType="begin"/>
      </w:r>
      <w:r w:rsidR="00315185">
        <w:instrText xml:space="preserve"> HYPERLINK "http://dx.doi.org/10.1787/a411500a-en" \t "_blank" \o "http://dx.doi.org/10.1787/a411500a-en" </w:instrText>
      </w:r>
      <w:r w:rsidR="00315185">
        <w:fldChar w:fldCharType="separate"/>
      </w:r>
      <w:r w:rsidRPr="00306221">
        <w:rPr>
          <w:rStyle w:val="Hipervnculo"/>
          <w:color w:val="0000FF"/>
          <w:u w:val="single"/>
          <w:lang w:val="en"/>
        </w:rPr>
        <w:t>http://dx.doi.org/10.1787/a411500a-en</w:t>
      </w:r>
      <w:r w:rsidR="00315185">
        <w:rPr>
          <w:rStyle w:val="Hipervnculo"/>
          <w:color w:val="0000FF"/>
          <w:u w:val="single"/>
          <w:lang w:val="en"/>
        </w:rPr>
        <w:fldChar w:fldCharType="end"/>
      </w:r>
      <w:r>
        <w:rPr>
          <w:color w:val="0000FF"/>
          <w:lang w:val="en"/>
        </w:rPr>
        <w:t>.</w:t>
      </w:r>
    </w:p>
    <w:p w:rsidR="00473421" w:rsidRDefault="00473421" w:rsidP="0075163D">
      <w:pPr>
        <w:pStyle w:val="Biblio-Entry"/>
        <w:rPr>
          <w:i/>
          <w:iCs/>
        </w:rPr>
      </w:pPr>
      <w:r w:rsidRPr="00711D04">
        <w:t xml:space="preserve">Muliati, I. (2013), “Pension Reform Experience in Indonesia”, </w:t>
      </w:r>
      <w:r w:rsidRPr="00711D04">
        <w:rPr>
          <w:i/>
          <w:iCs/>
        </w:rPr>
        <w:t>IMF paper for the IMF Conference for</w:t>
      </w:r>
      <w:r>
        <w:rPr>
          <w:i/>
          <w:iCs/>
        </w:rPr>
        <w:t xml:space="preserve"> </w:t>
      </w:r>
      <w:r w:rsidRPr="008E4C09">
        <w:rPr>
          <w:i/>
          <w:iCs/>
        </w:rPr>
        <w:t>Designing Equitable and Sustainable Pension Post Crisis World</w:t>
      </w:r>
      <w:r>
        <w:rPr>
          <w:i/>
          <w:iCs/>
        </w:rPr>
        <w:t>.</w:t>
      </w:r>
    </w:p>
    <w:p w:rsidR="00473421" w:rsidRPr="00265573" w:rsidRDefault="00473421" w:rsidP="0075163D">
      <w:pPr>
        <w:pStyle w:val="Biblio-Entry"/>
        <w:rPr>
          <w:iCs/>
        </w:rPr>
      </w:pPr>
      <w:r>
        <w:rPr>
          <w:iCs/>
        </w:rPr>
        <w:t xml:space="preserve">Murtin, F. and M. Mira d’Ercole (2015), “Household Wealth Inequality Across OECD Countries: New OECD Evidence”, </w:t>
      </w:r>
      <w:r w:rsidRPr="00265573">
        <w:rPr>
          <w:i/>
          <w:iCs/>
        </w:rPr>
        <w:t>OECD Statistics Brief</w:t>
      </w:r>
      <w:r>
        <w:rPr>
          <w:iCs/>
        </w:rPr>
        <w:t>, No. 21.</w:t>
      </w:r>
    </w:p>
    <w:p w:rsidR="00473421" w:rsidRPr="00997135" w:rsidRDefault="00473421" w:rsidP="0075163D">
      <w:pPr>
        <w:pStyle w:val="Biblio-Entry"/>
      </w:pPr>
      <w:r w:rsidRPr="00997135">
        <w:t xml:space="preserve">OECD (2017a), </w:t>
      </w:r>
      <w:r w:rsidRPr="00997135">
        <w:rPr>
          <w:i/>
          <w:iCs/>
        </w:rPr>
        <w:t xml:space="preserve">Inequality </w:t>
      </w:r>
      <w:r>
        <w:rPr>
          <w:i/>
          <w:iCs/>
        </w:rPr>
        <w:t>P</w:t>
      </w:r>
      <w:r w:rsidRPr="00997135">
        <w:rPr>
          <w:i/>
          <w:iCs/>
        </w:rPr>
        <w:t xml:space="preserve">attern in </w:t>
      </w:r>
      <w:r>
        <w:rPr>
          <w:i/>
          <w:iCs/>
        </w:rPr>
        <w:t>S</w:t>
      </w:r>
      <w:r w:rsidRPr="00997135">
        <w:rPr>
          <w:i/>
          <w:iCs/>
        </w:rPr>
        <w:t xml:space="preserve">elected </w:t>
      </w:r>
      <w:r>
        <w:rPr>
          <w:i/>
          <w:iCs/>
        </w:rPr>
        <w:t>E</w:t>
      </w:r>
      <w:r w:rsidRPr="00997135">
        <w:rPr>
          <w:i/>
          <w:iCs/>
        </w:rPr>
        <w:t xml:space="preserve">merging </w:t>
      </w:r>
      <w:r>
        <w:rPr>
          <w:i/>
          <w:iCs/>
        </w:rPr>
        <w:t>E</w:t>
      </w:r>
      <w:r w:rsidRPr="00997135">
        <w:rPr>
          <w:i/>
          <w:iCs/>
        </w:rPr>
        <w:t>conomies</w:t>
      </w:r>
      <w:r w:rsidRPr="00997135">
        <w:t>, OECD Publishing, Paris</w:t>
      </w:r>
      <w:r>
        <w:t xml:space="preserve">, </w:t>
      </w:r>
      <w:r w:rsidRPr="00997135">
        <w:t>forthcoming.</w:t>
      </w:r>
    </w:p>
    <w:p w:rsidR="00473421" w:rsidRPr="00B87ED7" w:rsidRDefault="00473421" w:rsidP="0075163D">
      <w:pPr>
        <w:pStyle w:val="Biblio-Entry"/>
      </w:pPr>
      <w:r w:rsidRPr="00997135">
        <w:t xml:space="preserve">OECD (2017b), </w:t>
      </w:r>
      <w:r w:rsidRPr="00997135">
        <w:rPr>
          <w:i/>
        </w:rPr>
        <w:t>Report on the implementation</w:t>
      </w:r>
      <w:r>
        <w:rPr>
          <w:i/>
        </w:rPr>
        <w:t xml:space="preserve"> of the OECD Gender recommendations – Some progress on gender equality but much left to do</w:t>
      </w:r>
      <w:r w:rsidRPr="008C1FAE">
        <w:t xml:space="preserve">, </w:t>
      </w:r>
      <w:r w:rsidRPr="00997135">
        <w:t>OECD Publishing, Paris</w:t>
      </w:r>
      <w:r>
        <w:t>, forthcoming.</w:t>
      </w:r>
    </w:p>
    <w:p w:rsidR="00473421" w:rsidRPr="008C1FAE" w:rsidRDefault="00473421" w:rsidP="0075163D">
      <w:pPr>
        <w:pStyle w:val="Biblio-Entry"/>
        <w:rPr>
          <w:color w:val="0000FF"/>
          <w:lang w:eastAsia="en-GB"/>
        </w:rPr>
      </w:pPr>
      <w:r w:rsidRPr="00450E25">
        <w:t xml:space="preserve">OECD (2016a), </w:t>
      </w:r>
      <w:r>
        <w:rPr>
          <w:rStyle w:val="Enfasis"/>
          <w:lang w:val="en"/>
        </w:rPr>
        <w:t>OECD Employment Outlook 2016</w:t>
      </w:r>
      <w:r>
        <w:rPr>
          <w:lang w:val="en"/>
        </w:rPr>
        <w:t xml:space="preserve">, OECD Publishing, Paris, </w:t>
      </w:r>
      <w:r w:rsidR="00315185">
        <w:fldChar w:fldCharType="begin"/>
      </w:r>
      <w:r w:rsidR="00315185">
        <w:instrText xml:space="preserve"> HYPERLINK "http://dx.doi.org/10.1787/empl_outlook-2016-en" \t "_blank" \o "http://dx.doi.org/10.1787/empl_outlook-2016-en" </w:instrText>
      </w:r>
      <w:r w:rsidR="00315185">
        <w:fldChar w:fldCharType="separate"/>
      </w:r>
      <w:r w:rsidRPr="00306221">
        <w:rPr>
          <w:rStyle w:val="Hipervnculo"/>
          <w:color w:val="0000FF"/>
          <w:u w:val="single"/>
          <w:lang w:val="en"/>
        </w:rPr>
        <w:t>http://dx.doi.org/10.1787/empl_outlook-2016-en</w:t>
      </w:r>
      <w:r w:rsidR="00315185">
        <w:rPr>
          <w:rStyle w:val="Hipervnculo"/>
          <w:color w:val="0000FF"/>
          <w:u w:val="single"/>
          <w:lang w:val="en"/>
        </w:rPr>
        <w:fldChar w:fldCharType="end"/>
      </w:r>
      <w:r w:rsidRPr="008C1FAE">
        <w:rPr>
          <w:color w:val="0000FF"/>
          <w:lang w:eastAsia="en-GB"/>
        </w:rPr>
        <w:t>.</w:t>
      </w:r>
    </w:p>
    <w:p w:rsidR="00473421" w:rsidRPr="008C1FAE" w:rsidRDefault="00473421" w:rsidP="0075163D">
      <w:pPr>
        <w:pStyle w:val="Biblio-Entry"/>
        <w:rPr>
          <w:color w:val="0000FF"/>
        </w:rPr>
      </w:pPr>
      <w:r w:rsidRPr="00450E25">
        <w:t>OECD (2016</w:t>
      </w:r>
      <w:r>
        <w:t>b</w:t>
      </w:r>
      <w:r w:rsidRPr="00450E25">
        <w:t xml:space="preserve">), </w:t>
      </w:r>
      <w:r>
        <w:rPr>
          <w:rStyle w:val="Enfasis"/>
          <w:lang w:val="en"/>
        </w:rPr>
        <w:t>Society at a Glance 2016: OECD Social Indicators</w:t>
      </w:r>
      <w:r>
        <w:rPr>
          <w:lang w:val="en"/>
        </w:rPr>
        <w:t xml:space="preserve">, OECD Publishing, Paris, </w:t>
      </w:r>
      <w:r w:rsidR="00315185">
        <w:fldChar w:fldCharType="begin"/>
      </w:r>
      <w:r w:rsidR="00315185">
        <w:instrText xml:space="preserve"> HYPERLINK "http://dx.doi.org/10.1787/9789264261488-en" \t "_blank" \o "http://dx.doi.org/10.1787/9789264261488-en" </w:instrText>
      </w:r>
      <w:r w:rsidR="00315185">
        <w:fldChar w:fldCharType="separate"/>
      </w:r>
      <w:r w:rsidRPr="00306221">
        <w:rPr>
          <w:rStyle w:val="Hipervnculo"/>
          <w:color w:val="0000FF"/>
          <w:u w:val="single"/>
          <w:lang w:val="en"/>
        </w:rPr>
        <w:t>http://dx.doi.org/10.1787/9789264261488-en</w:t>
      </w:r>
      <w:r w:rsidR="00315185">
        <w:rPr>
          <w:rStyle w:val="Hipervnculo"/>
          <w:color w:val="0000FF"/>
          <w:u w:val="single"/>
          <w:lang w:val="en"/>
        </w:rPr>
        <w:fldChar w:fldCharType="end"/>
      </w:r>
      <w:r w:rsidRPr="008C1FAE">
        <w:rPr>
          <w:color w:val="0000FF"/>
          <w:lang w:val="en"/>
        </w:rPr>
        <w:t>.</w:t>
      </w:r>
    </w:p>
    <w:p w:rsidR="00473421" w:rsidRPr="00450E25" w:rsidRDefault="00473421" w:rsidP="0075163D">
      <w:pPr>
        <w:pStyle w:val="Biblio-Entry"/>
      </w:pPr>
      <w:r w:rsidRPr="00450E25">
        <w:t>OECD (2016</w:t>
      </w:r>
      <w:r>
        <w:t>c</w:t>
      </w:r>
      <w:r w:rsidRPr="00450E25">
        <w:t>),</w:t>
      </w:r>
      <w:r>
        <w:t xml:space="preserve"> </w:t>
      </w:r>
      <w:r>
        <w:rPr>
          <w:rStyle w:val="Enfasis"/>
          <w:lang w:val="en"/>
        </w:rPr>
        <w:t>Health at a Glance: Europe 2016: State of Health in the EU Cycle</w:t>
      </w:r>
      <w:r>
        <w:rPr>
          <w:lang w:val="en"/>
        </w:rPr>
        <w:t xml:space="preserve">, OECD Publishing, Paris, </w:t>
      </w:r>
      <w:r w:rsidR="00315185">
        <w:fldChar w:fldCharType="begin"/>
      </w:r>
      <w:r w:rsidR="00315185">
        <w:instrText xml:space="preserve"> HYPERLINK "http://dx.doi.org/10.1787/9789264265592-en" \t "_blank" \o "http://dx.doi.org/10.1787/9789264265592-en" </w:instrText>
      </w:r>
      <w:r w:rsidR="00315185">
        <w:fldChar w:fldCharType="separate"/>
      </w:r>
      <w:r w:rsidRPr="00306221">
        <w:rPr>
          <w:rStyle w:val="Hipervnculo"/>
          <w:color w:val="0000FF"/>
          <w:u w:val="single"/>
          <w:lang w:val="en"/>
        </w:rPr>
        <w:t>http://dx.doi.org/10.1787/9789264265592-en</w:t>
      </w:r>
      <w:r w:rsidR="00315185">
        <w:rPr>
          <w:rStyle w:val="Hipervnculo"/>
          <w:color w:val="0000FF"/>
          <w:u w:val="single"/>
          <w:lang w:val="en"/>
        </w:rPr>
        <w:fldChar w:fldCharType="end"/>
      </w:r>
      <w:r w:rsidRPr="008C1FAE">
        <w:rPr>
          <w:color w:val="0000FF"/>
          <w:lang w:val="en"/>
        </w:rPr>
        <w:t>.</w:t>
      </w:r>
    </w:p>
    <w:p w:rsidR="00473421" w:rsidRPr="00450E25" w:rsidRDefault="00473421" w:rsidP="0075163D">
      <w:pPr>
        <w:pStyle w:val="Biblio-Entry"/>
      </w:pPr>
      <w:r w:rsidRPr="00450E25">
        <w:t>OECD (2016</w:t>
      </w:r>
      <w:r>
        <w:t>d</w:t>
      </w:r>
      <w:r w:rsidRPr="00450E25">
        <w:t xml:space="preserve">), </w:t>
      </w:r>
      <w:r>
        <w:rPr>
          <w:rStyle w:val="Enfasis"/>
          <w:lang w:val="en"/>
        </w:rPr>
        <w:t>Back to Work: Japan: Improving the Re-employment Prospects of Displaced Workers</w:t>
      </w:r>
      <w:r>
        <w:rPr>
          <w:lang w:val="en"/>
        </w:rPr>
        <w:t xml:space="preserve">, OECD Publishing, Paris, </w:t>
      </w:r>
      <w:r w:rsidR="00315185">
        <w:fldChar w:fldCharType="begin"/>
      </w:r>
      <w:r w:rsidR="00315185">
        <w:instrText xml:space="preserve"> HYPERLINK "http://dx.doi.org/10.1787/9789264227200-en" \t "_blank" \o "http://dx.doi.org/1</w:instrText>
      </w:r>
      <w:r w:rsidR="00315185">
        <w:instrText xml:space="preserve">0.1787/9789264227200-en" </w:instrText>
      </w:r>
      <w:r w:rsidR="00315185">
        <w:fldChar w:fldCharType="separate"/>
      </w:r>
      <w:r w:rsidRPr="00306221">
        <w:rPr>
          <w:rStyle w:val="Hipervnculo"/>
          <w:color w:val="0000FF"/>
          <w:u w:val="single"/>
          <w:lang w:val="en"/>
        </w:rPr>
        <w:t>http://dx.doi.org/10.1787/9789264227200-en</w:t>
      </w:r>
      <w:r w:rsidR="00315185">
        <w:rPr>
          <w:rStyle w:val="Hipervnculo"/>
          <w:color w:val="0000FF"/>
          <w:u w:val="single"/>
          <w:lang w:val="en"/>
        </w:rPr>
        <w:fldChar w:fldCharType="end"/>
      </w:r>
      <w:r w:rsidRPr="008C1FAE">
        <w:rPr>
          <w:color w:val="0000FF"/>
          <w:lang w:val="en"/>
        </w:rPr>
        <w:t>.</w:t>
      </w:r>
    </w:p>
    <w:p w:rsidR="00473421" w:rsidRPr="00450E25" w:rsidRDefault="00473421" w:rsidP="0075163D">
      <w:pPr>
        <w:pStyle w:val="Biblio-Entry"/>
      </w:pPr>
      <w:r w:rsidRPr="00450E25">
        <w:t>OECD (2016</w:t>
      </w:r>
      <w:r>
        <w:t>e</w:t>
      </w:r>
      <w:r w:rsidRPr="00450E25">
        <w:t xml:space="preserve">), </w:t>
      </w:r>
      <w:r w:rsidR="00306221">
        <w:rPr>
          <w:lang w:val="en"/>
        </w:rPr>
        <w:t>“</w:t>
      </w:r>
      <w:r>
        <w:rPr>
          <w:lang w:val="en"/>
        </w:rPr>
        <w:t>New Markets and New Jobs</w:t>
      </w:r>
      <w:r w:rsidR="00306221">
        <w:rPr>
          <w:lang w:val="en"/>
        </w:rPr>
        <w:t>”</w:t>
      </w:r>
      <w:r>
        <w:rPr>
          <w:lang w:val="en"/>
        </w:rPr>
        <w:t xml:space="preserve">, </w:t>
      </w:r>
      <w:r>
        <w:rPr>
          <w:rStyle w:val="Enfasis"/>
          <w:lang w:val="en"/>
        </w:rPr>
        <w:t>OECD Digital Economy Papers</w:t>
      </w:r>
      <w:r>
        <w:rPr>
          <w:lang w:val="en"/>
        </w:rPr>
        <w:t xml:space="preserve">, No. 255, OECD Publishing, Paris, </w:t>
      </w:r>
      <w:r w:rsidR="00315185">
        <w:fldChar w:fldCharType="begin"/>
      </w:r>
      <w:r w:rsidR="00315185">
        <w:instrText xml:space="preserve"> HYPERLINK "http://dx.doi.org/10.1787/5jlwt496h37l-en" \t "_blank" \o "http://dx</w:instrText>
      </w:r>
      <w:r w:rsidR="00315185">
        <w:instrText xml:space="preserve">.doi.org/10.1787/5jlwt496h37l-en" </w:instrText>
      </w:r>
      <w:r w:rsidR="00315185">
        <w:fldChar w:fldCharType="separate"/>
      </w:r>
      <w:r w:rsidRPr="00306221">
        <w:rPr>
          <w:rStyle w:val="Hipervnculo"/>
          <w:color w:val="0000FF"/>
          <w:u w:val="single"/>
          <w:lang w:val="en"/>
        </w:rPr>
        <w:t>http://dx.doi.org/10.1787/5jlwt496h37l-en</w:t>
      </w:r>
      <w:r w:rsidR="00315185">
        <w:rPr>
          <w:rStyle w:val="Hipervnculo"/>
          <w:color w:val="0000FF"/>
          <w:u w:val="single"/>
          <w:lang w:val="en"/>
        </w:rPr>
        <w:fldChar w:fldCharType="end"/>
      </w:r>
      <w:r>
        <w:rPr>
          <w:color w:val="0000FF"/>
          <w:lang w:val="en"/>
        </w:rPr>
        <w:t>.</w:t>
      </w:r>
    </w:p>
    <w:p w:rsidR="00473421" w:rsidRPr="008C1FAE" w:rsidRDefault="00473421" w:rsidP="0075163D">
      <w:pPr>
        <w:pStyle w:val="Biblio-Entry"/>
        <w:rPr>
          <w:color w:val="0000FF"/>
        </w:rPr>
      </w:pPr>
      <w:r w:rsidRPr="00450E25">
        <w:t>OECD (2016</w:t>
      </w:r>
      <w:r>
        <w:t>f</w:t>
      </w:r>
      <w:r w:rsidRPr="00450E25">
        <w:t xml:space="preserve">), </w:t>
      </w:r>
      <w:r>
        <w:rPr>
          <w:rStyle w:val="Enfasis"/>
          <w:lang w:val="en"/>
        </w:rPr>
        <w:t>OECD Pensions Outlook 2016</w:t>
      </w:r>
      <w:r>
        <w:rPr>
          <w:lang w:val="en"/>
        </w:rPr>
        <w:t xml:space="preserve">, OECD Publishing, Paris, </w:t>
      </w:r>
      <w:r w:rsidR="00315185">
        <w:fldChar w:fldCharType="begin"/>
      </w:r>
      <w:r w:rsidR="00315185">
        <w:instrText xml:space="preserve"> HYPERLINK "http://dx.doi.org/10.1787/pens_outlook-2016-en" \t "_blank" \o "http://dx.doi.org/10.1787/pens_out</w:instrText>
      </w:r>
      <w:r w:rsidR="00315185">
        <w:instrText xml:space="preserve">look-2016-en" </w:instrText>
      </w:r>
      <w:r w:rsidR="00315185">
        <w:fldChar w:fldCharType="separate"/>
      </w:r>
      <w:r w:rsidRPr="00306221">
        <w:rPr>
          <w:rStyle w:val="Hipervnculo"/>
          <w:color w:val="0000FF"/>
          <w:u w:val="single"/>
          <w:lang w:val="en"/>
        </w:rPr>
        <w:t>http://dx.doi.org/10.1787/pens_outlook-2016-en</w:t>
      </w:r>
      <w:r w:rsidR="00315185">
        <w:rPr>
          <w:rStyle w:val="Hipervnculo"/>
          <w:color w:val="0000FF"/>
          <w:u w:val="single"/>
          <w:lang w:val="en"/>
        </w:rPr>
        <w:fldChar w:fldCharType="end"/>
      </w:r>
      <w:r w:rsidRPr="00306221">
        <w:rPr>
          <w:color w:val="0000FF"/>
          <w:u w:val="single"/>
          <w:lang w:val="en"/>
        </w:rPr>
        <w:t>.</w:t>
      </w:r>
    </w:p>
    <w:p w:rsidR="00473421" w:rsidRPr="008C1FAE" w:rsidRDefault="00473421" w:rsidP="0075163D">
      <w:pPr>
        <w:pStyle w:val="Biblio-Entry"/>
        <w:rPr>
          <w:color w:val="0000FF"/>
        </w:rPr>
      </w:pPr>
      <w:r w:rsidRPr="00450E25">
        <w:t>OECD (2016</w:t>
      </w:r>
      <w:r>
        <w:t>g</w:t>
      </w:r>
      <w:r w:rsidRPr="00450E25">
        <w:t xml:space="preserve">), </w:t>
      </w:r>
      <w:r>
        <w:rPr>
          <w:rStyle w:val="Enfasis"/>
          <w:lang w:val="en"/>
        </w:rPr>
        <w:t>OECD Business and Finance Outlook 2016</w:t>
      </w:r>
      <w:r>
        <w:rPr>
          <w:lang w:val="en"/>
        </w:rPr>
        <w:t xml:space="preserve">, OECD Publishing, Paris, </w:t>
      </w:r>
      <w:r w:rsidR="00315185">
        <w:fldChar w:fldCharType="begin"/>
      </w:r>
      <w:r w:rsidR="00315185">
        <w:instrText xml:space="preserve"> HYPERLINK "http://dx.doi.org/10.1787/9789264257573-en" \t "_blank" \o "http://dx.doi.org/10.1787/9789264257573-e</w:instrText>
      </w:r>
      <w:r w:rsidR="00315185">
        <w:instrText xml:space="preserve">n" </w:instrText>
      </w:r>
      <w:r w:rsidR="00315185">
        <w:fldChar w:fldCharType="separate"/>
      </w:r>
      <w:r w:rsidRPr="00306221">
        <w:rPr>
          <w:rStyle w:val="Hipervnculo"/>
          <w:color w:val="0000FF"/>
          <w:u w:val="single"/>
          <w:lang w:val="en"/>
        </w:rPr>
        <w:t>http://dx.doi.org/10.1787/9789264257573-en</w:t>
      </w:r>
      <w:r w:rsidR="00315185">
        <w:rPr>
          <w:rStyle w:val="Hipervnculo"/>
          <w:color w:val="0000FF"/>
          <w:u w:val="single"/>
          <w:lang w:val="en"/>
        </w:rPr>
        <w:fldChar w:fldCharType="end"/>
      </w:r>
      <w:r w:rsidRPr="00306221">
        <w:rPr>
          <w:color w:val="0000FF"/>
          <w:u w:val="single"/>
          <w:lang w:val="en"/>
        </w:rPr>
        <w:t>.</w:t>
      </w:r>
    </w:p>
    <w:p w:rsidR="00473421" w:rsidRPr="008C1FAE" w:rsidRDefault="00473421" w:rsidP="0075163D">
      <w:pPr>
        <w:pStyle w:val="Biblio-Entry"/>
        <w:rPr>
          <w:color w:val="0000FF"/>
        </w:rPr>
      </w:pPr>
      <w:r w:rsidRPr="00450E25">
        <w:t>OECD (2015a)</w:t>
      </w:r>
      <w:r>
        <w:t>,</w:t>
      </w:r>
      <w:r w:rsidRPr="00450E25">
        <w:t xml:space="preserve"> </w:t>
      </w:r>
      <w:r>
        <w:rPr>
          <w:rStyle w:val="Enfasis"/>
          <w:lang w:val="en"/>
        </w:rPr>
        <w:t>In It Together: Why Less Inequality Benefits All</w:t>
      </w:r>
      <w:r>
        <w:rPr>
          <w:lang w:val="en"/>
        </w:rPr>
        <w:t xml:space="preserve">, OECD Publishing, Paris, </w:t>
      </w:r>
      <w:r w:rsidR="00315185">
        <w:fldChar w:fldCharType="begin"/>
      </w:r>
      <w:r w:rsidR="00315185">
        <w:instrText xml:space="preserve"> HYPERLINK "http://dx.doi.org/10.1787/9789264235120-en" \t "_blank" \o "http://dx.doi.org/10.1787/9789264235120-en" </w:instrText>
      </w:r>
      <w:r w:rsidR="00315185">
        <w:fldChar w:fldCharType="separate"/>
      </w:r>
      <w:r w:rsidRPr="00306221">
        <w:rPr>
          <w:rStyle w:val="Hipervnculo"/>
          <w:color w:val="0000FF"/>
          <w:u w:val="single"/>
          <w:lang w:val="en"/>
        </w:rPr>
        <w:t>http://dx.doi.org/10.1787/9789264235120-en</w:t>
      </w:r>
      <w:r w:rsidR="00315185">
        <w:rPr>
          <w:rStyle w:val="Hipervnculo"/>
          <w:color w:val="0000FF"/>
          <w:u w:val="single"/>
          <w:lang w:val="en"/>
        </w:rPr>
        <w:fldChar w:fldCharType="end"/>
      </w:r>
      <w:r w:rsidRPr="00306221">
        <w:rPr>
          <w:color w:val="0000FF"/>
          <w:u w:val="single"/>
          <w:lang w:val="en"/>
        </w:rPr>
        <w:t>.</w:t>
      </w:r>
    </w:p>
    <w:p w:rsidR="00473421" w:rsidRPr="00450E25" w:rsidRDefault="00473421" w:rsidP="0075163D">
      <w:pPr>
        <w:pStyle w:val="Biblio-Entry"/>
      </w:pPr>
      <w:r w:rsidRPr="00450E25">
        <w:t>OECD (2015b),</w:t>
      </w:r>
      <w:r w:rsidRPr="008C1FAE">
        <w:rPr>
          <w:lang w:val="en"/>
        </w:rPr>
        <w:t xml:space="preserve"> </w:t>
      </w:r>
      <w:r>
        <w:rPr>
          <w:rStyle w:val="Enfasis"/>
          <w:lang w:val="en"/>
        </w:rPr>
        <w:t>Pensions at a Glance 2015: OECD and G20 indicators</w:t>
      </w:r>
      <w:r>
        <w:rPr>
          <w:lang w:val="en"/>
        </w:rPr>
        <w:t xml:space="preserve">, OECD Publishing, Paris, </w:t>
      </w:r>
      <w:r w:rsidR="00315185">
        <w:fldChar w:fldCharType="begin"/>
      </w:r>
      <w:r w:rsidR="00315185">
        <w:instrText xml:space="preserve"> HYPERLINK "http://dx.doi.org/10.1787/pension_glance-2015-en" \t "_blank" \o "http://dx.doi.org/10.1787/pension_glance-2</w:instrText>
      </w:r>
      <w:r w:rsidR="00315185">
        <w:instrText xml:space="preserve">015-en" </w:instrText>
      </w:r>
      <w:r w:rsidR="00315185">
        <w:fldChar w:fldCharType="separate"/>
      </w:r>
      <w:r w:rsidRPr="00306221">
        <w:rPr>
          <w:rStyle w:val="Hipervnculo"/>
          <w:color w:val="0000FF"/>
          <w:u w:val="single"/>
          <w:lang w:val="en"/>
        </w:rPr>
        <w:t>http://dx.doi.org/10.1787/pension_glance-2015-en</w:t>
      </w:r>
      <w:r w:rsidR="00315185">
        <w:rPr>
          <w:rStyle w:val="Hipervnculo"/>
          <w:color w:val="0000FF"/>
          <w:u w:val="single"/>
          <w:lang w:val="en"/>
        </w:rPr>
        <w:fldChar w:fldCharType="end"/>
      </w:r>
      <w:r w:rsidRPr="00306221">
        <w:rPr>
          <w:color w:val="0000FF"/>
          <w:u w:val="single"/>
        </w:rPr>
        <w:t>.</w:t>
      </w:r>
    </w:p>
    <w:p w:rsidR="00473421" w:rsidRPr="008C1FAE" w:rsidRDefault="00473421" w:rsidP="0075163D">
      <w:pPr>
        <w:pStyle w:val="Biblio-Entry"/>
        <w:rPr>
          <w:color w:val="0000FF"/>
          <w:lang w:eastAsia="en-GB"/>
        </w:rPr>
      </w:pPr>
      <w:r w:rsidRPr="00450E25">
        <w:t>OECD (2015c)</w:t>
      </w:r>
      <w:r w:rsidRPr="00450E25">
        <w:rPr>
          <w:lang w:eastAsia="en-GB"/>
        </w:rPr>
        <w:t xml:space="preserve">, </w:t>
      </w:r>
      <w:r>
        <w:rPr>
          <w:rStyle w:val="Enfasis"/>
          <w:lang w:val="en"/>
        </w:rPr>
        <w:t>Health at a Glance 2015: OECD Indicators</w:t>
      </w:r>
      <w:r>
        <w:rPr>
          <w:lang w:val="en"/>
        </w:rPr>
        <w:t xml:space="preserve">, OECD Publishing, Paris, </w:t>
      </w:r>
      <w:r w:rsidR="00315185">
        <w:fldChar w:fldCharType="begin"/>
      </w:r>
      <w:r w:rsidR="00315185">
        <w:instrText xml:space="preserve"> HYPERLINK "http://dx.doi.org/10.1787/health_glance-2015-en" \t "_blank" \o "http://dx.doi.org/10.1787/health_glanc</w:instrText>
      </w:r>
      <w:r w:rsidR="00315185">
        <w:instrText xml:space="preserve">e-2015-en" </w:instrText>
      </w:r>
      <w:r w:rsidR="00315185">
        <w:fldChar w:fldCharType="separate"/>
      </w:r>
      <w:r w:rsidRPr="00306221">
        <w:rPr>
          <w:rStyle w:val="Hipervnculo"/>
          <w:color w:val="0000FF"/>
          <w:u w:val="single"/>
          <w:lang w:val="en"/>
        </w:rPr>
        <w:t>http://dx.doi.org/10.1787/health_glance-2015-en</w:t>
      </w:r>
      <w:r w:rsidR="00315185">
        <w:rPr>
          <w:rStyle w:val="Hipervnculo"/>
          <w:color w:val="0000FF"/>
          <w:u w:val="single"/>
          <w:lang w:val="en"/>
        </w:rPr>
        <w:fldChar w:fldCharType="end"/>
      </w:r>
      <w:r w:rsidRPr="00306221">
        <w:rPr>
          <w:color w:val="0000FF"/>
          <w:u w:val="single"/>
          <w:lang w:val="en"/>
        </w:rPr>
        <w:t>.</w:t>
      </w:r>
    </w:p>
    <w:p w:rsidR="00473421" w:rsidRPr="008C1FAE" w:rsidRDefault="00473421" w:rsidP="0075163D">
      <w:pPr>
        <w:pStyle w:val="Biblio-Entry"/>
        <w:rPr>
          <w:color w:val="0000FF"/>
        </w:rPr>
      </w:pPr>
      <w:r>
        <w:t xml:space="preserve">OECD (2015d), </w:t>
      </w:r>
      <w:r>
        <w:rPr>
          <w:i/>
          <w:iCs/>
        </w:rPr>
        <w:t>G20 Framework for Promoting Job quality,</w:t>
      </w:r>
      <w:r>
        <w:t xml:space="preserve"> OECD Publishing, Paris, </w:t>
      </w:r>
      <w:hyperlink r:id="rId92" w:history="1">
        <w:r w:rsidRPr="00306221">
          <w:rPr>
            <w:rStyle w:val="Hipervnculo"/>
            <w:color w:val="0000FF"/>
            <w:u w:val="single"/>
          </w:rPr>
          <w:t>http://g20.org.tr/wp-content/uploads/2015/11/G20-Framework-on-Promoting-Quality-Jobs.pdf</w:t>
        </w:r>
      </w:hyperlink>
      <w:r w:rsidRPr="00306221">
        <w:rPr>
          <w:color w:val="0000FF"/>
          <w:u w:val="single"/>
        </w:rPr>
        <w:t>.</w:t>
      </w:r>
    </w:p>
    <w:p w:rsidR="00473421" w:rsidRPr="00F21B2D" w:rsidRDefault="00473421" w:rsidP="0075163D">
      <w:pPr>
        <w:pStyle w:val="Biblio-Entry"/>
        <w:rPr>
          <w:lang w:eastAsia="en-GB"/>
        </w:rPr>
      </w:pPr>
      <w:r w:rsidRPr="00F21B2D">
        <w:t xml:space="preserve">OECD (2014a), </w:t>
      </w:r>
      <w:r w:rsidRPr="00F21B2D">
        <w:rPr>
          <w:i/>
          <w:iCs/>
        </w:rPr>
        <w:t>Ageing and Employment Policies. Switzerland. Working Better with Age</w:t>
      </w:r>
      <w:r w:rsidRPr="00F21B2D">
        <w:t>, OECD Publishing, Paris.</w:t>
      </w:r>
    </w:p>
    <w:p w:rsidR="00473421" w:rsidRPr="00837061" w:rsidRDefault="00473421" w:rsidP="0075163D">
      <w:pPr>
        <w:pStyle w:val="Biblio-Entry"/>
        <w:rPr>
          <w:color w:val="0000FF"/>
          <w:lang w:eastAsia="en-GB"/>
        </w:rPr>
      </w:pPr>
      <w:r w:rsidRPr="00C04F39">
        <w:t>OECD (2014</w:t>
      </w:r>
      <w:r>
        <w:t>b</w:t>
      </w:r>
      <w:r w:rsidRPr="00C04F39">
        <w:t xml:space="preserve">), </w:t>
      </w:r>
      <w:r>
        <w:rPr>
          <w:rStyle w:val="Enfasis"/>
          <w:lang w:val="en"/>
        </w:rPr>
        <w:t>OECD Pensions Outlook 2014</w:t>
      </w:r>
      <w:r>
        <w:rPr>
          <w:lang w:val="en"/>
        </w:rPr>
        <w:t xml:space="preserve">, OECD Publishing, Paris, </w:t>
      </w:r>
      <w:r w:rsidR="00315185">
        <w:fldChar w:fldCharType="begin"/>
      </w:r>
      <w:r w:rsidR="00315185">
        <w:instrText xml:space="preserve"> HYPERLINK "http://dx.doi.org/10.1787/9789264222687-en" \t "_blank" \o "http://dx.doi.org/10.1787/9789264222687-en" </w:instrText>
      </w:r>
      <w:r w:rsidR="00315185">
        <w:fldChar w:fldCharType="separate"/>
      </w:r>
      <w:r w:rsidRPr="00306221">
        <w:rPr>
          <w:rStyle w:val="Hipervnculo"/>
          <w:color w:val="0000FF"/>
          <w:u w:val="single"/>
          <w:lang w:val="en"/>
        </w:rPr>
        <w:t>http://dx.doi.org/10.1787/9789264222687-en</w:t>
      </w:r>
      <w:r w:rsidR="00315185">
        <w:rPr>
          <w:rStyle w:val="Hipervnculo"/>
          <w:color w:val="0000FF"/>
          <w:u w:val="single"/>
          <w:lang w:val="en"/>
        </w:rPr>
        <w:fldChar w:fldCharType="end"/>
      </w:r>
      <w:r w:rsidRPr="00306221">
        <w:rPr>
          <w:color w:val="0000FF"/>
          <w:u w:val="single"/>
          <w:lang w:val="en"/>
        </w:rPr>
        <w:t>.</w:t>
      </w:r>
    </w:p>
    <w:p w:rsidR="00473421" w:rsidRPr="003A3BC7" w:rsidRDefault="00473421" w:rsidP="0075163D">
      <w:pPr>
        <w:pStyle w:val="Biblio-Entry"/>
      </w:pPr>
      <w:r w:rsidRPr="003A3BC7">
        <w:rPr>
          <w:color w:val="000000"/>
        </w:rPr>
        <w:t xml:space="preserve">OECD (2013a), </w:t>
      </w:r>
      <w:r>
        <w:rPr>
          <w:rStyle w:val="Enfasis"/>
          <w:lang w:val="en"/>
        </w:rPr>
        <w:t>PISA 2012 Results: Excellence through Equity (Volume II): Giving Every Student the Chance to Succeed</w:t>
      </w:r>
      <w:r>
        <w:rPr>
          <w:lang w:val="en"/>
        </w:rPr>
        <w:t xml:space="preserve">, OECD Publishing, Paris, </w:t>
      </w:r>
      <w:r w:rsidR="00315185">
        <w:fldChar w:fldCharType="begin"/>
      </w:r>
      <w:r w:rsidR="00315185">
        <w:instrText xml:space="preserve"> HYPERLINK "http://dx.doi.org/10.1787/9789264201132-en" \t "_blank" \o "http://dx.doi.org/10.1787/9789264201132-en" </w:instrText>
      </w:r>
      <w:r w:rsidR="00315185">
        <w:fldChar w:fldCharType="separate"/>
      </w:r>
      <w:r w:rsidRPr="00306221">
        <w:rPr>
          <w:rStyle w:val="Hipervnculo"/>
          <w:color w:val="0000FF"/>
          <w:u w:val="single"/>
          <w:lang w:val="en"/>
        </w:rPr>
        <w:t>http://dx.doi.org/10.1787/9789264201132-en</w:t>
      </w:r>
      <w:r w:rsidR="00315185">
        <w:rPr>
          <w:rStyle w:val="Hipervnculo"/>
          <w:color w:val="0000FF"/>
          <w:u w:val="single"/>
          <w:lang w:val="en"/>
        </w:rPr>
        <w:fldChar w:fldCharType="end"/>
      </w:r>
      <w:r w:rsidRPr="00837061">
        <w:rPr>
          <w:color w:val="0000FF"/>
          <w:lang w:val="en"/>
        </w:rPr>
        <w:t>.</w:t>
      </w:r>
    </w:p>
    <w:p w:rsidR="00473421" w:rsidRPr="00837061" w:rsidRDefault="00473421" w:rsidP="0075163D">
      <w:pPr>
        <w:pStyle w:val="Biblio-Entry"/>
        <w:rPr>
          <w:color w:val="0000FF"/>
        </w:rPr>
      </w:pPr>
      <w:r w:rsidRPr="00450E25">
        <w:t>OECD (2013</w:t>
      </w:r>
      <w:r>
        <w:t>b</w:t>
      </w:r>
      <w:r w:rsidRPr="00450E25">
        <w:t xml:space="preserve">), “The OECD Action Plan for Youth”, </w:t>
      </w:r>
      <w:r>
        <w:t xml:space="preserve">OECD, Paris, </w:t>
      </w:r>
      <w:hyperlink r:id="rId93" w:history="1">
        <w:r w:rsidRPr="00306221">
          <w:rPr>
            <w:rStyle w:val="Hipervnculo"/>
            <w:color w:val="0000FF"/>
            <w:u w:val="single"/>
          </w:rPr>
          <w:t>http://www.oecd.org/els/emp/Youth-Action-Plan.pdf</w:t>
        </w:r>
      </w:hyperlink>
      <w:r w:rsidRPr="00837061">
        <w:rPr>
          <w:color w:val="0000FF"/>
        </w:rPr>
        <w:t>.</w:t>
      </w:r>
    </w:p>
    <w:p w:rsidR="00473421" w:rsidRPr="00837061" w:rsidRDefault="00473421" w:rsidP="0075163D">
      <w:pPr>
        <w:pStyle w:val="Biblio-Entry"/>
        <w:rPr>
          <w:color w:val="0000FF"/>
          <w:lang w:eastAsia="en-GB"/>
        </w:rPr>
      </w:pPr>
      <w:r w:rsidRPr="00450E25">
        <w:t>OECD (2013</w:t>
      </w:r>
      <w:r>
        <w:t>c</w:t>
      </w:r>
      <w:r w:rsidRPr="00450E25">
        <w:t xml:space="preserve">), </w:t>
      </w:r>
      <w:r>
        <w:rPr>
          <w:rStyle w:val="Enfasis"/>
          <w:lang w:val="en"/>
        </w:rPr>
        <w:t>OECD Employment Outlook 2013</w:t>
      </w:r>
      <w:r>
        <w:rPr>
          <w:lang w:val="en"/>
        </w:rPr>
        <w:t xml:space="preserve">, OECD Publishing, Paris, </w:t>
      </w:r>
      <w:r w:rsidR="00315185">
        <w:fldChar w:fldCharType="begin"/>
      </w:r>
      <w:r w:rsidR="00315185">
        <w:instrText xml:space="preserve"> HYPERLINK "http://dx.doi.org/10.1787/empl_outlook-2013-en" \t "_blank" \o "http://dx.doi.org/10.1787/empl_outlook-2013-en" </w:instrText>
      </w:r>
      <w:r w:rsidR="00315185">
        <w:fldChar w:fldCharType="separate"/>
      </w:r>
      <w:r w:rsidRPr="00306221">
        <w:rPr>
          <w:rStyle w:val="Hipervnculo"/>
          <w:color w:val="0000FF"/>
          <w:u w:val="single"/>
          <w:lang w:val="en"/>
        </w:rPr>
        <w:t>http://dx.doi.org/10.1787/empl_outlook-2013-en</w:t>
      </w:r>
      <w:r w:rsidR="00315185">
        <w:rPr>
          <w:rStyle w:val="Hipervnculo"/>
          <w:color w:val="0000FF"/>
          <w:u w:val="single"/>
          <w:lang w:val="en"/>
        </w:rPr>
        <w:fldChar w:fldCharType="end"/>
      </w:r>
      <w:r w:rsidRPr="00306221">
        <w:rPr>
          <w:color w:val="0000FF"/>
          <w:u w:val="single"/>
          <w:lang w:val="en"/>
        </w:rPr>
        <w:t>.</w:t>
      </w:r>
    </w:p>
    <w:p w:rsidR="00473421" w:rsidRPr="00837061" w:rsidRDefault="00473421" w:rsidP="0075163D">
      <w:pPr>
        <w:pStyle w:val="Biblio-Entry"/>
        <w:rPr>
          <w:color w:val="0000FF"/>
          <w:lang w:eastAsia="en-GB"/>
        </w:rPr>
      </w:pPr>
      <w:r>
        <w:rPr>
          <w:lang w:eastAsia="en-GB"/>
        </w:rPr>
        <w:t>OECD (2013d</w:t>
      </w:r>
      <w:r>
        <w:rPr>
          <w:i/>
          <w:iCs/>
          <w:lang w:eastAsia="en-GB"/>
        </w:rPr>
        <w:t xml:space="preserve">), </w:t>
      </w:r>
      <w:r>
        <w:rPr>
          <w:rStyle w:val="Enfasis"/>
          <w:lang w:val="en"/>
        </w:rPr>
        <w:t>Pensions at a Glance Asia/Pacific 2013</w:t>
      </w:r>
      <w:r>
        <w:rPr>
          <w:lang w:val="en"/>
        </w:rPr>
        <w:t xml:space="preserve">, OECD Publishing, Paris, </w:t>
      </w:r>
      <w:r w:rsidR="00315185">
        <w:fldChar w:fldCharType="begin"/>
      </w:r>
      <w:r w:rsidR="00315185">
        <w:instrText xml:space="preserve"> HY</w:instrText>
      </w:r>
      <w:r w:rsidR="00315185">
        <w:instrText xml:space="preserve">PERLINK "http://dx.doi.org/10.1787/pension_asia-2013-en" \t "_blank" \o "http://dx.doi.org/10.1787/pension_asia-2013-en" </w:instrText>
      </w:r>
      <w:r w:rsidR="00315185">
        <w:fldChar w:fldCharType="separate"/>
      </w:r>
      <w:r w:rsidRPr="00306221">
        <w:rPr>
          <w:rStyle w:val="Hipervnculo"/>
          <w:color w:val="0000FF"/>
          <w:u w:val="single"/>
          <w:lang w:val="en"/>
        </w:rPr>
        <w:t>http://dx.doi.org/10.1787/pension_asia-2013-en</w:t>
      </w:r>
      <w:r w:rsidR="00315185">
        <w:rPr>
          <w:rStyle w:val="Hipervnculo"/>
          <w:color w:val="0000FF"/>
          <w:u w:val="single"/>
          <w:lang w:val="en"/>
        </w:rPr>
        <w:fldChar w:fldCharType="end"/>
      </w:r>
      <w:r w:rsidRPr="00837061">
        <w:rPr>
          <w:color w:val="0000FF"/>
          <w:lang w:val="en"/>
        </w:rPr>
        <w:t>.</w:t>
      </w:r>
    </w:p>
    <w:p w:rsidR="00473421" w:rsidRDefault="00473421" w:rsidP="0075163D">
      <w:pPr>
        <w:pStyle w:val="Biblio-Entry"/>
      </w:pPr>
      <w:r w:rsidRPr="00450E25">
        <w:t>OECD (2012</w:t>
      </w:r>
      <w:r>
        <w:t>a</w:t>
      </w:r>
      <w:r w:rsidRPr="00450E25">
        <w:t xml:space="preserve">), </w:t>
      </w:r>
      <w:r>
        <w:rPr>
          <w:rStyle w:val="Enfasis"/>
          <w:lang w:val="en"/>
        </w:rPr>
        <w:t>Equity and Quality in Education: Supporting Disadvantaged Students and Schools</w:t>
      </w:r>
      <w:r>
        <w:rPr>
          <w:lang w:val="en"/>
        </w:rPr>
        <w:t xml:space="preserve">, OECD Publishing, Paris, </w:t>
      </w:r>
      <w:r w:rsidR="00315185">
        <w:fldChar w:fldCharType="begin"/>
      </w:r>
      <w:r w:rsidR="00315185">
        <w:instrText xml:space="preserve"> HYPERLINK "http://dx.doi.org/10.1787/9789264130852-en" \t "_blank" \o "http://dx.doi.org/10.1787/9789264130852-en" </w:instrText>
      </w:r>
      <w:r w:rsidR="00315185">
        <w:fldChar w:fldCharType="separate"/>
      </w:r>
      <w:r w:rsidRPr="00306221">
        <w:rPr>
          <w:rStyle w:val="Hipervnculo"/>
          <w:color w:val="0000FF"/>
          <w:u w:val="single"/>
          <w:lang w:val="en"/>
        </w:rPr>
        <w:t>http://dx.doi.org/10.1787/9789264130852-en</w:t>
      </w:r>
      <w:r w:rsidR="00315185">
        <w:rPr>
          <w:rStyle w:val="Hipervnculo"/>
          <w:color w:val="0000FF"/>
          <w:u w:val="single"/>
          <w:lang w:val="en"/>
        </w:rPr>
        <w:fldChar w:fldCharType="end"/>
      </w:r>
      <w:r>
        <w:rPr>
          <w:lang w:val="en"/>
        </w:rPr>
        <w:t>.</w:t>
      </w:r>
    </w:p>
    <w:p w:rsidR="00473421" w:rsidRPr="00450E25" w:rsidRDefault="00473421" w:rsidP="0075163D">
      <w:pPr>
        <w:pStyle w:val="Biblio-Entry"/>
      </w:pPr>
      <w:r w:rsidRPr="00450E25">
        <w:t>OECD (2012</w:t>
      </w:r>
      <w:r>
        <w:t>b</w:t>
      </w:r>
      <w:r w:rsidRPr="00450E25">
        <w:t xml:space="preserve">), </w:t>
      </w:r>
      <w:r>
        <w:rPr>
          <w:rStyle w:val="Enfasis"/>
          <w:lang w:val="en"/>
        </w:rPr>
        <w:t>Closing the Gender Gap: Act Now</w:t>
      </w:r>
      <w:r>
        <w:rPr>
          <w:lang w:val="en"/>
        </w:rPr>
        <w:t xml:space="preserve">, OECD Publishing, Paris, </w:t>
      </w:r>
      <w:r w:rsidR="00315185">
        <w:fldChar w:fldCharType="begin"/>
      </w:r>
      <w:r w:rsidR="00315185">
        <w:instrText xml:space="preserve"> HYPERLINK "http://dx.doi.org/10.1787/9789264179370-en" \t "_blank" \o "http://dx.doi.org/10.1787/9789264179370-en" </w:instrText>
      </w:r>
      <w:r w:rsidR="00315185">
        <w:fldChar w:fldCharType="separate"/>
      </w:r>
      <w:r w:rsidRPr="00306221">
        <w:rPr>
          <w:rStyle w:val="Hipervnculo"/>
          <w:color w:val="0000FF"/>
          <w:u w:val="single"/>
          <w:lang w:val="en"/>
        </w:rPr>
        <w:t>http://dx.doi.org/10.1787/9789264179370-en</w:t>
      </w:r>
      <w:r w:rsidR="00315185">
        <w:rPr>
          <w:rStyle w:val="Hipervnculo"/>
          <w:color w:val="0000FF"/>
          <w:u w:val="single"/>
          <w:lang w:val="en"/>
        </w:rPr>
        <w:fldChar w:fldCharType="end"/>
      </w:r>
      <w:r>
        <w:rPr>
          <w:lang w:val="en"/>
        </w:rPr>
        <w:t>.</w:t>
      </w:r>
    </w:p>
    <w:p w:rsidR="00473421" w:rsidRPr="00837061" w:rsidRDefault="00473421" w:rsidP="0075163D">
      <w:pPr>
        <w:pStyle w:val="Biblio-Entry"/>
        <w:rPr>
          <w:color w:val="0000FF"/>
        </w:rPr>
      </w:pPr>
      <w:r w:rsidRPr="00450E25">
        <w:t>OECD (2011</w:t>
      </w:r>
      <w:r>
        <w:t>a</w:t>
      </w:r>
      <w:r w:rsidRPr="00450E25">
        <w:t xml:space="preserve">), </w:t>
      </w:r>
      <w:r>
        <w:rPr>
          <w:rStyle w:val="Enfasis"/>
          <w:lang w:val="en"/>
        </w:rPr>
        <w:t>Divided We Stand: Why Inequality Keeps Rising</w:t>
      </w:r>
      <w:r>
        <w:rPr>
          <w:lang w:val="en"/>
        </w:rPr>
        <w:t xml:space="preserve">, OECD Publishing, Paris, </w:t>
      </w:r>
      <w:r w:rsidR="00315185">
        <w:fldChar w:fldCharType="begin"/>
      </w:r>
      <w:r w:rsidR="00315185">
        <w:instrText xml:space="preserve"> HYPERLINK "http://dx.doi.org/10.1787/9789264119536-en" \t "_blank" \o "http://dx.doi.org/10.1787/9789264119536-en" </w:instrText>
      </w:r>
      <w:r w:rsidR="00315185">
        <w:fldChar w:fldCharType="separate"/>
      </w:r>
      <w:r w:rsidRPr="00306221">
        <w:rPr>
          <w:rStyle w:val="Hipervnculo"/>
          <w:color w:val="0000FF"/>
          <w:u w:val="single"/>
          <w:lang w:val="en"/>
        </w:rPr>
        <w:t>http://dx.doi.org/10.1787/9789264119536-en</w:t>
      </w:r>
      <w:r w:rsidR="00315185">
        <w:rPr>
          <w:rStyle w:val="Hipervnculo"/>
          <w:color w:val="0000FF"/>
          <w:u w:val="single"/>
          <w:lang w:val="en"/>
        </w:rPr>
        <w:fldChar w:fldCharType="end"/>
      </w:r>
      <w:r w:rsidRPr="00837061">
        <w:rPr>
          <w:color w:val="0000FF"/>
          <w:lang w:val="en"/>
        </w:rPr>
        <w:t>.</w:t>
      </w:r>
    </w:p>
    <w:p w:rsidR="00473421" w:rsidRPr="00837061" w:rsidRDefault="00473421" w:rsidP="0075163D">
      <w:pPr>
        <w:pStyle w:val="Biblio-Entry"/>
        <w:rPr>
          <w:color w:val="0000FF"/>
        </w:rPr>
      </w:pPr>
      <w:r>
        <w:t xml:space="preserve">OECD (2011b), </w:t>
      </w:r>
      <w:r>
        <w:rPr>
          <w:rStyle w:val="Enfasis"/>
          <w:lang w:val="en"/>
        </w:rPr>
        <w:t>Doing Better for Families</w:t>
      </w:r>
      <w:r>
        <w:rPr>
          <w:lang w:val="en"/>
        </w:rPr>
        <w:t xml:space="preserve">, OECD Publishing, Paris, </w:t>
      </w:r>
      <w:r w:rsidR="00315185">
        <w:fldChar w:fldCharType="begin"/>
      </w:r>
      <w:r w:rsidR="00315185">
        <w:instrText xml:space="preserve"> HYPERLINK "http://dx.do</w:instrText>
      </w:r>
      <w:r w:rsidR="00315185">
        <w:instrText xml:space="preserve">i.org/10.1787/9789264098732-en" \t "_blank" \o "http://dx.doi.org/10.1787/9789264098732-en" </w:instrText>
      </w:r>
      <w:r w:rsidR="00315185">
        <w:fldChar w:fldCharType="separate"/>
      </w:r>
      <w:r w:rsidRPr="00306221">
        <w:rPr>
          <w:rStyle w:val="Hipervnculo"/>
          <w:color w:val="0000FF"/>
          <w:u w:val="single"/>
          <w:lang w:val="en"/>
        </w:rPr>
        <w:t>http://dx.doi.org/10.1787/9789264098732-en</w:t>
      </w:r>
      <w:r w:rsidR="00315185">
        <w:rPr>
          <w:rStyle w:val="Hipervnculo"/>
          <w:color w:val="0000FF"/>
          <w:u w:val="single"/>
          <w:lang w:val="en"/>
        </w:rPr>
        <w:fldChar w:fldCharType="end"/>
      </w:r>
      <w:r w:rsidRPr="00837061">
        <w:rPr>
          <w:color w:val="0000FF"/>
          <w:lang w:val="en"/>
        </w:rPr>
        <w:t>.</w:t>
      </w:r>
    </w:p>
    <w:p w:rsidR="00473421" w:rsidRPr="00837061" w:rsidRDefault="00473421" w:rsidP="0075163D">
      <w:pPr>
        <w:pStyle w:val="Biblio-Entry"/>
        <w:rPr>
          <w:color w:val="0000FF"/>
        </w:rPr>
      </w:pPr>
      <w:r>
        <w:t xml:space="preserve">OECD (2011c), </w:t>
      </w:r>
      <w:r>
        <w:rPr>
          <w:rStyle w:val="Enfasis"/>
          <w:lang w:val="en"/>
        </w:rPr>
        <w:t>Help Wanted?: Providing and Paying for Long-Term Care</w:t>
      </w:r>
      <w:r>
        <w:rPr>
          <w:lang w:val="en"/>
        </w:rPr>
        <w:t xml:space="preserve">, OECD Publishing, Paris, </w:t>
      </w:r>
      <w:r w:rsidR="00315185">
        <w:fldChar w:fldCharType="begin"/>
      </w:r>
      <w:r w:rsidR="00315185">
        <w:instrText xml:space="preserve"> HYPERLINK "http://dx.doi.org/10.1787/9789264097759-en" \t "_blank" \o "http://dx.doi.org/10.1787/9789264097759-en" </w:instrText>
      </w:r>
      <w:r w:rsidR="00315185">
        <w:fldChar w:fldCharType="separate"/>
      </w:r>
      <w:r w:rsidRPr="00306221">
        <w:rPr>
          <w:rStyle w:val="Hipervnculo"/>
          <w:color w:val="0000FF"/>
          <w:u w:val="single"/>
          <w:lang w:val="en"/>
        </w:rPr>
        <w:t>http://dx.doi.org/10.1787/9789264097759-en</w:t>
      </w:r>
      <w:r w:rsidR="00315185">
        <w:rPr>
          <w:rStyle w:val="Hipervnculo"/>
          <w:color w:val="0000FF"/>
          <w:u w:val="single"/>
          <w:lang w:val="en"/>
        </w:rPr>
        <w:fldChar w:fldCharType="end"/>
      </w:r>
      <w:r w:rsidRPr="00837061">
        <w:rPr>
          <w:color w:val="0000FF"/>
          <w:lang w:val="en"/>
        </w:rPr>
        <w:t>.</w:t>
      </w:r>
    </w:p>
    <w:p w:rsidR="00473421" w:rsidRPr="00837061" w:rsidRDefault="00473421" w:rsidP="0075163D">
      <w:pPr>
        <w:pStyle w:val="Biblio-Entry"/>
        <w:rPr>
          <w:color w:val="0000FF"/>
        </w:rPr>
      </w:pPr>
      <w:r w:rsidRPr="00450E25">
        <w:t xml:space="preserve">OECD (2010a), </w:t>
      </w:r>
      <w:r>
        <w:rPr>
          <w:rStyle w:val="Enfasis"/>
          <w:lang w:val="en"/>
        </w:rPr>
        <w:t>Off to a Good Start? Jobs for Youth</w:t>
      </w:r>
      <w:r>
        <w:rPr>
          <w:lang w:val="en"/>
        </w:rPr>
        <w:t xml:space="preserve">, OECD Publishing, Paris, </w:t>
      </w:r>
      <w:r w:rsidR="00315185">
        <w:fldChar w:fldCharType="begin"/>
      </w:r>
      <w:r w:rsidR="00315185">
        <w:instrText xml:space="preserve"> HYPERLINK "http:/</w:instrText>
      </w:r>
      <w:r w:rsidR="00315185">
        <w:instrText xml:space="preserve">/dx.doi.org/10.1787/9789264096127-en" \t "_blank" \o "http://dx.doi.org/10.1787/9789264096127-en" </w:instrText>
      </w:r>
      <w:r w:rsidR="00315185">
        <w:fldChar w:fldCharType="separate"/>
      </w:r>
      <w:r w:rsidRPr="00306221">
        <w:rPr>
          <w:rStyle w:val="Hipervnculo"/>
          <w:color w:val="0000FF"/>
          <w:u w:val="single"/>
          <w:lang w:val="en"/>
        </w:rPr>
        <w:t>http://dx.doi.org/10.1787/9789264096127-en</w:t>
      </w:r>
      <w:r w:rsidR="00315185">
        <w:rPr>
          <w:rStyle w:val="Hipervnculo"/>
          <w:color w:val="0000FF"/>
          <w:u w:val="single"/>
          <w:lang w:val="en"/>
        </w:rPr>
        <w:fldChar w:fldCharType="end"/>
      </w:r>
      <w:r w:rsidRPr="00837061">
        <w:rPr>
          <w:color w:val="0000FF"/>
          <w:lang w:val="en"/>
        </w:rPr>
        <w:t>.</w:t>
      </w:r>
    </w:p>
    <w:p w:rsidR="00473421" w:rsidRPr="00837061" w:rsidRDefault="00473421" w:rsidP="0075163D">
      <w:pPr>
        <w:pStyle w:val="Biblio-Entry"/>
        <w:rPr>
          <w:color w:val="0000FF"/>
        </w:rPr>
      </w:pPr>
      <w:r w:rsidRPr="00450E25">
        <w:t>OECD (2010</w:t>
      </w:r>
      <w:r>
        <w:t>b</w:t>
      </w:r>
      <w:r w:rsidRPr="00450E25">
        <w:t xml:space="preserve">), </w:t>
      </w:r>
      <w:r>
        <w:rPr>
          <w:rStyle w:val="Enfasis"/>
          <w:lang w:val="en"/>
        </w:rPr>
        <w:t>Obesity and the Economics of Prevention: Fit not Fat</w:t>
      </w:r>
      <w:r>
        <w:rPr>
          <w:lang w:val="en"/>
        </w:rPr>
        <w:t xml:space="preserve">, OECD Publishing, Paris, </w:t>
      </w:r>
      <w:r w:rsidR="00315185">
        <w:fldChar w:fldCharType="begin"/>
      </w:r>
      <w:r w:rsidR="00315185">
        <w:instrText xml:space="preserve"> HYPERLINK "http://</w:instrText>
      </w:r>
      <w:r w:rsidR="00315185">
        <w:instrText xml:space="preserve">dx.doi.org/10.1787/9789264084865-en" \t "_blank" \o "http://dx.doi.org/10.1787/9789264084865-en" </w:instrText>
      </w:r>
      <w:r w:rsidR="00315185">
        <w:fldChar w:fldCharType="separate"/>
      </w:r>
      <w:r w:rsidRPr="00306221">
        <w:rPr>
          <w:rStyle w:val="Hipervnculo"/>
          <w:color w:val="0000FF"/>
          <w:u w:val="single"/>
          <w:lang w:val="en"/>
        </w:rPr>
        <w:t>http://dx.doi.org/10.1787/9789264084865-en</w:t>
      </w:r>
      <w:r w:rsidR="00315185">
        <w:rPr>
          <w:rStyle w:val="Hipervnculo"/>
          <w:color w:val="0000FF"/>
          <w:u w:val="single"/>
          <w:lang w:val="en"/>
        </w:rPr>
        <w:fldChar w:fldCharType="end"/>
      </w:r>
      <w:r w:rsidRPr="00837061">
        <w:rPr>
          <w:color w:val="0000FF"/>
          <w:lang w:val="en"/>
        </w:rPr>
        <w:t>.</w:t>
      </w:r>
    </w:p>
    <w:p w:rsidR="00473421" w:rsidRPr="00804606" w:rsidRDefault="00473421" w:rsidP="0075163D">
      <w:pPr>
        <w:pStyle w:val="Biblio-Entry"/>
        <w:rPr>
          <w:color w:val="0000FF"/>
        </w:rPr>
      </w:pPr>
      <w:r>
        <w:t xml:space="preserve">OECD (2009), </w:t>
      </w:r>
      <w:r>
        <w:rPr>
          <w:rStyle w:val="Enfasis"/>
          <w:lang w:val="en"/>
        </w:rPr>
        <w:t>Doing Better for Children</w:t>
      </w:r>
      <w:r>
        <w:rPr>
          <w:lang w:val="en"/>
        </w:rPr>
        <w:t xml:space="preserve">, OECD Publishing, Paris, </w:t>
      </w:r>
      <w:r w:rsidR="00315185">
        <w:fldChar w:fldCharType="begin"/>
      </w:r>
      <w:r w:rsidR="00315185">
        <w:instrText xml:space="preserve"> HYPERLINK "http://dx.doi.org/10.1787/9789264059</w:instrText>
      </w:r>
      <w:r w:rsidR="00315185">
        <w:instrText xml:space="preserve">344-en" \t "_blank" \o "http://dx.doi.org/10.1787/9789264059344-en" </w:instrText>
      </w:r>
      <w:r w:rsidR="00315185">
        <w:fldChar w:fldCharType="separate"/>
      </w:r>
      <w:r w:rsidRPr="00306221">
        <w:rPr>
          <w:rStyle w:val="Hipervnculo"/>
          <w:color w:val="0000FF"/>
          <w:u w:val="single"/>
        </w:rPr>
        <w:t>http://dx.doi.org/10.1787/9789264059344-en</w:t>
      </w:r>
      <w:r w:rsidR="00315185">
        <w:rPr>
          <w:rStyle w:val="Hipervnculo"/>
          <w:color w:val="0000FF"/>
          <w:u w:val="single"/>
        </w:rPr>
        <w:fldChar w:fldCharType="end"/>
      </w:r>
      <w:r w:rsidRPr="00804606">
        <w:rPr>
          <w:color w:val="0000FF"/>
          <w:lang w:val="en"/>
        </w:rPr>
        <w:t>.</w:t>
      </w:r>
    </w:p>
    <w:p w:rsidR="00473421" w:rsidRPr="00450E25" w:rsidRDefault="00473421" w:rsidP="0075163D">
      <w:pPr>
        <w:pStyle w:val="Biblio-Entry"/>
      </w:pPr>
      <w:r w:rsidRPr="00450E25">
        <w:t xml:space="preserve">Orlova N.S., M.S. Rutledge and A.Y. Wu (2015), “The </w:t>
      </w:r>
      <w:r>
        <w:t>T</w:t>
      </w:r>
      <w:r w:rsidRPr="00450E25">
        <w:t xml:space="preserve">ransition from </w:t>
      </w:r>
      <w:r>
        <w:t>D</w:t>
      </w:r>
      <w:r w:rsidRPr="00450E25">
        <w:t xml:space="preserve">efined </w:t>
      </w:r>
      <w:r>
        <w:t>B</w:t>
      </w:r>
      <w:r w:rsidRPr="00450E25">
        <w:t xml:space="preserve">enefit to </w:t>
      </w:r>
      <w:r>
        <w:t>D</w:t>
      </w:r>
      <w:r w:rsidRPr="00450E25">
        <w:t xml:space="preserve">efined </w:t>
      </w:r>
      <w:r>
        <w:t>C</w:t>
      </w:r>
      <w:r w:rsidRPr="00450E25">
        <w:t xml:space="preserve">ontribution </w:t>
      </w:r>
      <w:r>
        <w:t>P</w:t>
      </w:r>
      <w:r w:rsidRPr="00450E25">
        <w:t xml:space="preserve">ensions: </w:t>
      </w:r>
      <w:r>
        <w:t>D</w:t>
      </w:r>
      <w:r w:rsidRPr="00450E25">
        <w:t xml:space="preserve">oes </w:t>
      </w:r>
      <w:r>
        <w:t>It I</w:t>
      </w:r>
      <w:r w:rsidRPr="00450E25">
        <w:t xml:space="preserve">nfluence </w:t>
      </w:r>
      <w:r>
        <w:t>E</w:t>
      </w:r>
      <w:r w:rsidRPr="00450E25">
        <w:t xml:space="preserve">lderly </w:t>
      </w:r>
      <w:r>
        <w:t>P</w:t>
      </w:r>
      <w:r w:rsidRPr="00450E25">
        <w:t xml:space="preserve">overty?”, </w:t>
      </w:r>
      <w:r w:rsidRPr="00450E25">
        <w:rPr>
          <w:i/>
        </w:rPr>
        <w:t>Center for Retirement Research at Boston College Working Papers</w:t>
      </w:r>
      <w:r w:rsidRPr="00450E25">
        <w:t>, No.</w:t>
      </w:r>
      <w:r>
        <w:t> </w:t>
      </w:r>
      <w:r w:rsidRPr="00450E25">
        <w:t>17.</w:t>
      </w:r>
    </w:p>
    <w:p w:rsidR="00473421" w:rsidRDefault="00473421" w:rsidP="0075163D">
      <w:pPr>
        <w:pStyle w:val="Biblio-Entry"/>
      </w:pPr>
      <w:r>
        <w:t>Paris, V. et al. (2016</w:t>
      </w:r>
      <w:r w:rsidRPr="00220DCF">
        <w:t>), “</w:t>
      </w:r>
      <w:r>
        <w:rPr>
          <w:lang w:val="en"/>
        </w:rPr>
        <w:t xml:space="preserve">Health Care Coverage in OECD Countries in 2012”, </w:t>
      </w:r>
      <w:r>
        <w:rPr>
          <w:rStyle w:val="Enfasis"/>
          <w:lang w:val="en"/>
        </w:rPr>
        <w:t>OECD Health Working Papers</w:t>
      </w:r>
      <w:r>
        <w:rPr>
          <w:lang w:val="en"/>
        </w:rPr>
        <w:t xml:space="preserve">, No. 88, OECD Publishing, Paris, </w:t>
      </w:r>
      <w:r w:rsidR="00315185">
        <w:fldChar w:fldCharType="begin"/>
      </w:r>
      <w:r w:rsidR="00315185">
        <w:instrText xml:space="preserve"> HYPERLINK "http://dx.doi.or</w:instrText>
      </w:r>
      <w:r w:rsidR="00315185">
        <w:instrText xml:space="preserve">g/10.1787/5jlz3kbf7pzv-en" \t "_blank" \o "http://dx.doi.org/10.1787/5jlz3kbf7pzv-en" </w:instrText>
      </w:r>
      <w:r w:rsidR="00315185">
        <w:fldChar w:fldCharType="separate"/>
      </w:r>
      <w:r w:rsidRPr="00804606">
        <w:rPr>
          <w:rStyle w:val="Hipervnculo"/>
          <w:color w:val="0000FF"/>
          <w:lang w:val="en"/>
        </w:rPr>
        <w:t>h</w:t>
      </w:r>
      <w:r w:rsidRPr="00306221">
        <w:rPr>
          <w:rStyle w:val="Hipervnculo"/>
          <w:color w:val="0000FF"/>
          <w:u w:val="single"/>
          <w:lang w:val="en"/>
        </w:rPr>
        <w:t>ttp://dx.doi.org/10.1787/5jlz3kbf7pzv-en</w:t>
      </w:r>
      <w:r w:rsidR="00315185">
        <w:rPr>
          <w:rStyle w:val="Hipervnculo"/>
          <w:color w:val="0000FF"/>
          <w:u w:val="single"/>
          <w:lang w:val="en"/>
        </w:rPr>
        <w:fldChar w:fldCharType="end"/>
      </w:r>
      <w:r w:rsidRPr="00220DCF">
        <w:t>.</w:t>
      </w:r>
    </w:p>
    <w:p w:rsidR="00473421" w:rsidRPr="00997135" w:rsidRDefault="00473421" w:rsidP="0075163D">
      <w:pPr>
        <w:pStyle w:val="Biblio-Entry"/>
      </w:pPr>
      <w:r w:rsidRPr="00997135">
        <w:t xml:space="preserve">Pisani, E., </w:t>
      </w:r>
      <w:r>
        <w:t xml:space="preserve">M.O. </w:t>
      </w:r>
      <w:r w:rsidRPr="00997135">
        <w:t xml:space="preserve">Kok and </w:t>
      </w:r>
      <w:r>
        <w:t xml:space="preserve">K. </w:t>
      </w:r>
      <w:r w:rsidRPr="00997135">
        <w:t>Nugroho (2017), “Indonesia</w:t>
      </w:r>
      <w:r>
        <w:t>’</w:t>
      </w:r>
      <w:r w:rsidRPr="00997135">
        <w:t>s</w:t>
      </w:r>
      <w:r>
        <w:t xml:space="preserve"> Road to U</w:t>
      </w:r>
      <w:r w:rsidRPr="00997135">
        <w:t xml:space="preserve">niversal </w:t>
      </w:r>
      <w:r>
        <w:t>H</w:t>
      </w:r>
      <w:r w:rsidRPr="00997135">
        <w:t xml:space="preserve">ealth </w:t>
      </w:r>
      <w:r>
        <w:t>C</w:t>
      </w:r>
      <w:r w:rsidRPr="00997135">
        <w:t xml:space="preserve">overage: </w:t>
      </w:r>
      <w:r>
        <w:t>A P</w:t>
      </w:r>
      <w:r w:rsidRPr="00997135">
        <w:t xml:space="preserve">olitical </w:t>
      </w:r>
      <w:r>
        <w:t>J</w:t>
      </w:r>
      <w:r w:rsidRPr="00997135">
        <w:t xml:space="preserve">ourney”, </w:t>
      </w:r>
      <w:r w:rsidRPr="00997135">
        <w:rPr>
          <w:i/>
        </w:rPr>
        <w:t>Health Policy Plan</w:t>
      </w:r>
      <w:r w:rsidRPr="00997135">
        <w:t xml:space="preserve">, </w:t>
      </w:r>
      <w:r>
        <w:t>Vol. </w:t>
      </w:r>
      <w:r w:rsidRPr="00997135">
        <w:t>32</w:t>
      </w:r>
      <w:r>
        <w:t>, No. </w:t>
      </w:r>
      <w:r w:rsidRPr="00997135">
        <w:t>2</w:t>
      </w:r>
      <w:r>
        <w:t>, pp. </w:t>
      </w:r>
      <w:r w:rsidRPr="00997135">
        <w:t>267-276.</w:t>
      </w:r>
    </w:p>
    <w:p w:rsidR="00473421" w:rsidRDefault="00473421" w:rsidP="0075163D">
      <w:pPr>
        <w:pStyle w:val="Biblio-Entry"/>
      </w:pPr>
      <w:r>
        <w:t xml:space="preserve">Peng, D. (2015), “Long-term Care for Older Persons in China”, </w:t>
      </w:r>
      <w:r>
        <w:rPr>
          <w:i/>
          <w:iCs/>
        </w:rPr>
        <w:t>SDD-SPPS Project Working Papers Series.</w:t>
      </w:r>
    </w:p>
    <w:p w:rsidR="00473421" w:rsidRDefault="00473421" w:rsidP="0075163D">
      <w:pPr>
        <w:pStyle w:val="Biblio-Entry"/>
      </w:pPr>
      <w:r>
        <w:t xml:space="preserve">Putnam, R. (2015), </w:t>
      </w:r>
      <w:r>
        <w:rPr>
          <w:i/>
          <w:iCs/>
        </w:rPr>
        <w:t>Our Kids. The American Dream in Crisis</w:t>
      </w:r>
      <w:r>
        <w:t>, Simon &amp; Schuster Publisher.</w:t>
      </w:r>
    </w:p>
    <w:p w:rsidR="00473421" w:rsidRPr="00A94DAC" w:rsidRDefault="00473421" w:rsidP="0075163D">
      <w:pPr>
        <w:pStyle w:val="Biblio-Entry"/>
        <w:rPr>
          <w:lang w:eastAsia="fr-FR"/>
        </w:rPr>
      </w:pPr>
      <w:r w:rsidRPr="00A94DAC">
        <w:t xml:space="preserve">Quesnel-Vallee, A., A. Willson and S. Reiter-Campeau (2015), “Health Inequalities Among Older Adults In Developed Countries: Reconciling Theories and Policy Approaches”, </w:t>
      </w:r>
      <w:r w:rsidRPr="00A94DAC">
        <w:rPr>
          <w:i/>
        </w:rPr>
        <w:t>Population Change and Lifecourse Strategic Knowledge Cluster Discussion Paper Series</w:t>
      </w:r>
      <w:r w:rsidRPr="00BC3C0A">
        <w:t>,</w:t>
      </w:r>
      <w:r w:rsidRPr="00A94DAC">
        <w:rPr>
          <w:i/>
        </w:rPr>
        <w:t xml:space="preserve"> </w:t>
      </w:r>
      <w:r w:rsidRPr="00A94DAC">
        <w:t>Vol.</w:t>
      </w:r>
      <w:r>
        <w:t> </w:t>
      </w:r>
      <w:r w:rsidRPr="00A94DAC">
        <w:t>3</w:t>
      </w:r>
      <w:r>
        <w:t>, No. </w:t>
      </w:r>
      <w:r w:rsidRPr="00A94DAC">
        <w:t>1, Article 6.</w:t>
      </w:r>
    </w:p>
    <w:p w:rsidR="00473421" w:rsidRPr="003F335B" w:rsidRDefault="00473421" w:rsidP="0075163D">
      <w:pPr>
        <w:pStyle w:val="Biblio-Entry"/>
      </w:pPr>
      <w:r>
        <w:t xml:space="preserve">Rofman, R. and L.M. Oliveri (2012), “Pension Coverage in Latin America”, </w:t>
      </w:r>
      <w:r>
        <w:rPr>
          <w:i/>
          <w:iCs/>
        </w:rPr>
        <w:t>World Bank discussion paper</w:t>
      </w:r>
      <w:r w:rsidRPr="00BC3C0A">
        <w:rPr>
          <w:iCs/>
        </w:rPr>
        <w:t>,</w:t>
      </w:r>
      <w:r>
        <w:rPr>
          <w:i/>
          <w:iCs/>
        </w:rPr>
        <w:t xml:space="preserve"> </w:t>
      </w:r>
      <w:r>
        <w:t>N</w:t>
      </w:r>
      <w:r w:rsidRPr="003F335B">
        <w:t>o. 1217</w:t>
      </w:r>
    </w:p>
    <w:p w:rsidR="00473421" w:rsidRPr="00450E25" w:rsidRDefault="00473421" w:rsidP="0075163D">
      <w:pPr>
        <w:pStyle w:val="Biblio-Entry"/>
        <w:rPr>
          <w:lang w:eastAsia="fr-FR"/>
        </w:rPr>
      </w:pPr>
      <w:r w:rsidRPr="00450E25">
        <w:rPr>
          <w:lang w:eastAsia="fr-FR"/>
        </w:rPr>
        <w:t>Sarkeala, T.</w:t>
      </w:r>
      <w:r>
        <w:rPr>
          <w:lang w:eastAsia="fr-FR"/>
        </w:rPr>
        <w:t xml:space="preserve"> et al.</w:t>
      </w:r>
      <w:r w:rsidRPr="00450E25">
        <w:rPr>
          <w:lang w:eastAsia="fr-FR"/>
        </w:rPr>
        <w:t xml:space="preserve"> (2011)</w:t>
      </w:r>
      <w:r>
        <w:rPr>
          <w:lang w:eastAsia="fr-FR"/>
        </w:rPr>
        <w:t>,</w:t>
      </w:r>
      <w:r w:rsidRPr="00450E25">
        <w:rPr>
          <w:lang w:eastAsia="fr-FR"/>
        </w:rPr>
        <w:t xml:space="preserve"> </w:t>
      </w:r>
      <w:r>
        <w:rPr>
          <w:lang w:eastAsia="fr-FR"/>
        </w:rPr>
        <w:t>“</w:t>
      </w:r>
      <w:r w:rsidRPr="00450E25">
        <w:rPr>
          <w:lang w:eastAsia="fr-FR"/>
        </w:rPr>
        <w:t xml:space="preserve">Disability </w:t>
      </w:r>
      <w:r>
        <w:rPr>
          <w:lang w:eastAsia="fr-FR"/>
        </w:rPr>
        <w:t>T</w:t>
      </w:r>
      <w:r w:rsidRPr="00450E25">
        <w:rPr>
          <w:lang w:eastAsia="fr-FR"/>
        </w:rPr>
        <w:t xml:space="preserve">rends </w:t>
      </w:r>
      <w:r>
        <w:rPr>
          <w:lang w:eastAsia="fr-FR"/>
        </w:rPr>
        <w:t>A</w:t>
      </w:r>
      <w:r w:rsidRPr="00450E25">
        <w:rPr>
          <w:lang w:eastAsia="fr-FR"/>
        </w:rPr>
        <w:t xml:space="preserve">mong </w:t>
      </w:r>
      <w:r>
        <w:rPr>
          <w:lang w:eastAsia="fr-FR"/>
        </w:rPr>
        <w:t>N</w:t>
      </w:r>
      <w:r w:rsidRPr="00450E25">
        <w:rPr>
          <w:lang w:eastAsia="fr-FR"/>
        </w:rPr>
        <w:t>onagenarians in 2001</w:t>
      </w:r>
      <w:r>
        <w:rPr>
          <w:lang w:eastAsia="fr-FR"/>
        </w:rPr>
        <w:t>-</w:t>
      </w:r>
      <w:r w:rsidRPr="00450E25">
        <w:rPr>
          <w:lang w:eastAsia="fr-FR"/>
        </w:rPr>
        <w:t>2007: Vitality 90+ Study</w:t>
      </w:r>
      <w:r>
        <w:rPr>
          <w:lang w:eastAsia="fr-FR"/>
        </w:rPr>
        <w:t>”</w:t>
      </w:r>
      <w:r w:rsidRPr="00450E25">
        <w:rPr>
          <w:lang w:eastAsia="fr-FR"/>
        </w:rPr>
        <w:t xml:space="preserve">, </w:t>
      </w:r>
      <w:r w:rsidRPr="00450E25">
        <w:rPr>
          <w:i/>
          <w:lang w:eastAsia="fr-FR"/>
        </w:rPr>
        <w:t>European Journal of Ageing</w:t>
      </w:r>
      <w:r w:rsidRPr="00450E25">
        <w:rPr>
          <w:lang w:eastAsia="fr-FR"/>
        </w:rPr>
        <w:t xml:space="preserve">, </w:t>
      </w:r>
      <w:r>
        <w:rPr>
          <w:lang w:eastAsia="fr-FR"/>
        </w:rPr>
        <w:t>Vol. </w:t>
      </w:r>
      <w:r w:rsidRPr="00450E25">
        <w:rPr>
          <w:lang w:eastAsia="fr-FR"/>
        </w:rPr>
        <w:t>8</w:t>
      </w:r>
      <w:r>
        <w:rPr>
          <w:lang w:eastAsia="fr-FR"/>
        </w:rPr>
        <w:t>, No. </w:t>
      </w:r>
      <w:r w:rsidRPr="00450E25">
        <w:rPr>
          <w:lang w:eastAsia="fr-FR"/>
        </w:rPr>
        <w:t>2</w:t>
      </w:r>
      <w:r>
        <w:rPr>
          <w:lang w:eastAsia="fr-FR"/>
        </w:rPr>
        <w:t>, pp. </w:t>
      </w:r>
      <w:r w:rsidRPr="00450E25">
        <w:rPr>
          <w:lang w:eastAsia="fr-FR"/>
        </w:rPr>
        <w:t>87-94.</w:t>
      </w:r>
    </w:p>
    <w:p w:rsidR="00473421" w:rsidRPr="00BC3C0A" w:rsidRDefault="00473421" w:rsidP="0075163D">
      <w:pPr>
        <w:pStyle w:val="Biblio-Entry"/>
        <w:rPr>
          <w:color w:val="0000FF"/>
        </w:rPr>
      </w:pPr>
      <w:r>
        <w:t xml:space="preserve">Sassi, F. et al. (2009), </w:t>
      </w:r>
      <w:r>
        <w:rPr>
          <w:lang w:val="en"/>
        </w:rPr>
        <w:t xml:space="preserve">"Improving Lifestyles, Tackling Obesity: The Health and Economic Impact of Prevention Strategies", </w:t>
      </w:r>
      <w:r>
        <w:rPr>
          <w:rStyle w:val="Enfasis"/>
          <w:lang w:val="en"/>
        </w:rPr>
        <w:t>OECD Health Working Papers</w:t>
      </w:r>
      <w:r>
        <w:rPr>
          <w:lang w:val="en"/>
        </w:rPr>
        <w:t xml:space="preserve">, No. 48, OECD Publishing, Paris, </w:t>
      </w:r>
      <w:r w:rsidR="00315185">
        <w:fldChar w:fldCharType="begin"/>
      </w:r>
      <w:r w:rsidR="00315185">
        <w:instrText xml:space="preserve"> HYPERLINK "http://dx.doi.org/10.1787/220087432153" \t "_bl</w:instrText>
      </w:r>
      <w:r w:rsidR="00315185">
        <w:instrText xml:space="preserve">ank" \o "http://dx.doi.org/10.1787/220087432153" </w:instrText>
      </w:r>
      <w:r w:rsidR="00315185">
        <w:fldChar w:fldCharType="separate"/>
      </w:r>
      <w:r w:rsidRPr="00306221">
        <w:rPr>
          <w:rStyle w:val="Hipervnculo"/>
          <w:color w:val="0000FF"/>
          <w:u w:val="single"/>
          <w:lang w:val="en"/>
        </w:rPr>
        <w:t>http://dx.doi.org/10.1787/220087432153</w:t>
      </w:r>
      <w:r w:rsidR="00315185">
        <w:rPr>
          <w:rStyle w:val="Hipervnculo"/>
          <w:color w:val="0000FF"/>
          <w:u w:val="single"/>
          <w:lang w:val="en"/>
        </w:rPr>
        <w:fldChar w:fldCharType="end"/>
      </w:r>
      <w:r w:rsidRPr="00BC3C0A">
        <w:rPr>
          <w:color w:val="0000FF"/>
          <w:lang w:val="en"/>
        </w:rPr>
        <w:t>.</w:t>
      </w:r>
    </w:p>
    <w:p w:rsidR="00473421" w:rsidRPr="00A94DAC" w:rsidRDefault="00473421" w:rsidP="0075163D">
      <w:pPr>
        <w:pStyle w:val="Biblio-Entry"/>
      </w:pPr>
      <w:r w:rsidRPr="00C109D1">
        <w:t>Schoon I.</w:t>
      </w:r>
      <w:r>
        <w:t xml:space="preserve"> et al. </w:t>
      </w:r>
      <w:r w:rsidRPr="00C109D1">
        <w:t xml:space="preserve">(forthcoming), </w:t>
      </w:r>
      <w:r w:rsidRPr="00C109D1">
        <w:rPr>
          <w:i/>
          <w:iCs/>
        </w:rPr>
        <w:t>The Impact of Early Life Skills on Later</w:t>
      </w:r>
      <w:r>
        <w:rPr>
          <w:i/>
          <w:iCs/>
        </w:rPr>
        <w:t xml:space="preserve"> Outcomes. Final Report</w:t>
      </w:r>
      <w:r>
        <w:t>, OECD Publishing, Paris.</w:t>
      </w:r>
    </w:p>
    <w:p w:rsidR="00473421" w:rsidRPr="00450E25" w:rsidRDefault="00473421" w:rsidP="0075163D">
      <w:pPr>
        <w:pStyle w:val="Biblio-Entry"/>
      </w:pPr>
      <w:r w:rsidRPr="00450E25">
        <w:rPr>
          <w:color w:val="222222"/>
          <w:lang w:eastAsia="en-GB"/>
        </w:rPr>
        <w:t>Sullivan</w:t>
      </w:r>
      <w:r>
        <w:rPr>
          <w:color w:val="222222"/>
          <w:lang w:eastAsia="en-GB"/>
        </w:rPr>
        <w:t>,</w:t>
      </w:r>
      <w:r w:rsidRPr="00450E25">
        <w:rPr>
          <w:color w:val="222222"/>
          <w:lang w:eastAsia="en-GB"/>
        </w:rPr>
        <w:t xml:space="preserve"> D. and T. von Wachter (2009), </w:t>
      </w:r>
      <w:r>
        <w:rPr>
          <w:color w:val="222222"/>
          <w:lang w:eastAsia="en-GB"/>
        </w:rPr>
        <w:t>“</w:t>
      </w:r>
      <w:r w:rsidRPr="00450E25">
        <w:rPr>
          <w:color w:val="222222"/>
          <w:lang w:eastAsia="en-GB"/>
        </w:rPr>
        <w:t xml:space="preserve">Job </w:t>
      </w:r>
      <w:r>
        <w:rPr>
          <w:color w:val="222222"/>
          <w:lang w:eastAsia="en-GB"/>
        </w:rPr>
        <w:t>D</w:t>
      </w:r>
      <w:r w:rsidRPr="00450E25">
        <w:rPr>
          <w:color w:val="222222"/>
          <w:lang w:eastAsia="en-GB"/>
        </w:rPr>
        <w:t xml:space="preserve">isplacement and </w:t>
      </w:r>
      <w:r>
        <w:rPr>
          <w:color w:val="222222"/>
          <w:lang w:eastAsia="en-GB"/>
        </w:rPr>
        <w:t>M</w:t>
      </w:r>
      <w:r w:rsidRPr="00450E25">
        <w:rPr>
          <w:color w:val="222222"/>
          <w:lang w:eastAsia="en-GB"/>
        </w:rPr>
        <w:t xml:space="preserve">ortality: An </w:t>
      </w:r>
      <w:r>
        <w:rPr>
          <w:color w:val="222222"/>
          <w:lang w:eastAsia="en-GB"/>
        </w:rPr>
        <w:t>A</w:t>
      </w:r>
      <w:r w:rsidRPr="00450E25">
        <w:rPr>
          <w:color w:val="222222"/>
          <w:lang w:eastAsia="en-GB"/>
        </w:rPr>
        <w:t xml:space="preserve">nalysis </w:t>
      </w:r>
      <w:r>
        <w:rPr>
          <w:color w:val="222222"/>
          <w:lang w:eastAsia="en-GB"/>
        </w:rPr>
        <w:t>U</w:t>
      </w:r>
      <w:r w:rsidRPr="00450E25">
        <w:rPr>
          <w:color w:val="222222"/>
          <w:lang w:eastAsia="en-GB"/>
        </w:rPr>
        <w:t xml:space="preserve">sing </w:t>
      </w:r>
      <w:r>
        <w:rPr>
          <w:color w:val="222222"/>
          <w:lang w:eastAsia="en-GB"/>
        </w:rPr>
        <w:t>A</w:t>
      </w:r>
      <w:r w:rsidRPr="00450E25">
        <w:rPr>
          <w:color w:val="222222"/>
          <w:lang w:eastAsia="en-GB"/>
        </w:rPr>
        <w:t xml:space="preserve">dministrative </w:t>
      </w:r>
      <w:r>
        <w:rPr>
          <w:color w:val="222222"/>
          <w:lang w:eastAsia="en-GB"/>
        </w:rPr>
        <w:t>D</w:t>
      </w:r>
      <w:r w:rsidRPr="00450E25">
        <w:rPr>
          <w:color w:val="222222"/>
          <w:lang w:eastAsia="en-GB"/>
        </w:rPr>
        <w:t>ata</w:t>
      </w:r>
      <w:r>
        <w:rPr>
          <w:color w:val="222222"/>
          <w:lang w:eastAsia="en-GB"/>
        </w:rPr>
        <w:t>”,</w:t>
      </w:r>
      <w:r w:rsidRPr="00450E25">
        <w:rPr>
          <w:i/>
          <w:iCs/>
          <w:color w:val="222222"/>
          <w:lang w:eastAsia="en-GB"/>
        </w:rPr>
        <w:t xml:space="preserve"> Quarterly Journal of Economics</w:t>
      </w:r>
      <w:r>
        <w:rPr>
          <w:color w:val="222222"/>
          <w:lang w:eastAsia="en-GB"/>
        </w:rPr>
        <w:t>,</w:t>
      </w:r>
      <w:r w:rsidRPr="00450E25">
        <w:rPr>
          <w:color w:val="222222"/>
          <w:lang w:eastAsia="en-GB"/>
        </w:rPr>
        <w:t xml:space="preserve"> </w:t>
      </w:r>
      <w:r>
        <w:rPr>
          <w:color w:val="222222"/>
          <w:lang w:eastAsia="en-GB"/>
        </w:rPr>
        <w:t>pp. </w:t>
      </w:r>
      <w:r w:rsidRPr="00450E25">
        <w:rPr>
          <w:color w:val="222222"/>
          <w:lang w:eastAsia="en-GB"/>
        </w:rPr>
        <w:t>1265-</w:t>
      </w:r>
      <w:r w:rsidRPr="00450E25">
        <w:t>1306.</w:t>
      </w:r>
    </w:p>
    <w:p w:rsidR="00473421" w:rsidRPr="009E36CC" w:rsidRDefault="00473421" w:rsidP="0075163D">
      <w:pPr>
        <w:pStyle w:val="Biblio-Entry"/>
      </w:pPr>
      <w:r>
        <w:t xml:space="preserve">WHO (2016), </w:t>
      </w:r>
      <w:r>
        <w:rPr>
          <w:i/>
        </w:rPr>
        <w:t>WHO Global Strategy and Action Plan on Ageing and Health</w:t>
      </w:r>
      <w:r>
        <w:t>, April.</w:t>
      </w:r>
    </w:p>
    <w:p w:rsidR="00473421" w:rsidRDefault="00473421" w:rsidP="0075163D">
      <w:pPr>
        <w:pStyle w:val="Biblio-Entry"/>
      </w:pPr>
      <w:r>
        <w:t>World Bank (2016), “Live Long and Prosper: Ageing in East Asia and Pacific”, World Bank, Washington DC.</w:t>
      </w:r>
    </w:p>
    <w:p w:rsidR="00473421" w:rsidRDefault="00473421" w:rsidP="0075163D">
      <w:pPr>
        <w:pStyle w:val="Biblio-Entry"/>
        <w:rPr>
          <w:i/>
        </w:rPr>
      </w:pPr>
      <w:r w:rsidRPr="00FD42A6">
        <w:t>Yu</w:t>
      </w:r>
      <w:r>
        <w:t>,</w:t>
      </w:r>
      <w:r w:rsidRPr="00FD42A6">
        <w:t xml:space="preserve"> H. (2015)</w:t>
      </w:r>
      <w:r>
        <w:t>,</w:t>
      </w:r>
      <w:r w:rsidRPr="00FD42A6">
        <w:t xml:space="preserve"> “Universal </w:t>
      </w:r>
      <w:r>
        <w:t>H</w:t>
      </w:r>
      <w:r w:rsidRPr="00FD42A6">
        <w:t xml:space="preserve">ealth </w:t>
      </w:r>
      <w:r>
        <w:t>I</w:t>
      </w:r>
      <w:r w:rsidRPr="00FD42A6">
        <w:t xml:space="preserve">nsurance </w:t>
      </w:r>
      <w:r>
        <w:t>C</w:t>
      </w:r>
      <w:r w:rsidRPr="00FD42A6">
        <w:t xml:space="preserve">overage for 1.3 </w:t>
      </w:r>
      <w:r>
        <w:t>B</w:t>
      </w:r>
      <w:r w:rsidRPr="00FD42A6">
        <w:t xml:space="preserve">illion </w:t>
      </w:r>
      <w:r>
        <w:t>P</w:t>
      </w:r>
      <w:r w:rsidRPr="00FD42A6">
        <w:t xml:space="preserve">eople: What </w:t>
      </w:r>
      <w:r>
        <w:t>A</w:t>
      </w:r>
      <w:r w:rsidRPr="00FD42A6">
        <w:t>ccounts for China</w:t>
      </w:r>
      <w:r>
        <w:t>’</w:t>
      </w:r>
      <w:r w:rsidRPr="00FD42A6">
        <w:t xml:space="preserve">s </w:t>
      </w:r>
      <w:r>
        <w:t>S</w:t>
      </w:r>
      <w:r w:rsidRPr="00FD42A6">
        <w:t xml:space="preserve">uccess?”, </w:t>
      </w:r>
      <w:r w:rsidRPr="00FD42A6">
        <w:rPr>
          <w:i/>
        </w:rPr>
        <w:t>Health Policy</w:t>
      </w:r>
      <w:r>
        <w:rPr>
          <w:i/>
        </w:rPr>
        <w:t>.</w:t>
      </w:r>
    </w:p>
    <w:p w:rsidR="00473421" w:rsidRDefault="00473421" w:rsidP="0075163D">
      <w:pPr>
        <w:pStyle w:val="Biblio-Entry"/>
      </w:pPr>
    </w:p>
    <w:p w:rsidR="00473421" w:rsidRDefault="00473421" w:rsidP="0075163D">
      <w:pPr>
        <w:pStyle w:val="Ttulo2"/>
      </w:pPr>
      <w:bookmarkStart w:id="53" w:name="_Toc488843960"/>
      <w:bookmarkStart w:id="54" w:name="_Toc491852319"/>
      <w:bookmarkStart w:id="55" w:name="_Toc491856771"/>
      <w:r>
        <w:t>Database references</w:t>
      </w:r>
      <w:bookmarkEnd w:id="53"/>
      <w:bookmarkEnd w:id="54"/>
      <w:bookmarkEnd w:id="55"/>
    </w:p>
    <w:p w:rsidR="00473421" w:rsidRPr="003E2CFA" w:rsidRDefault="00473421" w:rsidP="005128E0">
      <w:pPr>
        <w:pStyle w:val="Biblio-Entry"/>
        <w:jc w:val="left"/>
      </w:pPr>
      <w:r w:rsidRPr="003E2CFA">
        <w:t>OECD Education Database</w:t>
      </w:r>
      <w:r w:rsidRPr="005128E0">
        <w:rPr>
          <w:color w:val="0000FF"/>
        </w:rPr>
        <w:t>,</w:t>
      </w:r>
      <w:r w:rsidR="002110BD">
        <w:rPr>
          <w:color w:val="0000FF"/>
        </w:rPr>
        <w:t xml:space="preserve"> </w:t>
      </w:r>
      <w:hyperlink r:id="rId94" w:history="1">
        <w:r w:rsidR="002110BD" w:rsidRPr="002110BD">
          <w:rPr>
            <w:rStyle w:val="Hipervnculo"/>
            <w:color w:val="0000FF"/>
            <w:u w:val="single"/>
          </w:rPr>
          <w:t>http://www.oecd.org/education/database.htm</w:t>
        </w:r>
      </w:hyperlink>
      <w:r w:rsidR="005128E0" w:rsidRPr="002110BD">
        <w:rPr>
          <w:rStyle w:val="Hipervnculo"/>
          <w:color w:val="0000FF"/>
          <w:u w:val="single"/>
        </w:rPr>
        <w:t>.</w:t>
      </w:r>
    </w:p>
    <w:p w:rsidR="00473421" w:rsidRPr="003E2CFA" w:rsidRDefault="00473421" w:rsidP="005128E0">
      <w:pPr>
        <w:pStyle w:val="Biblio-Entry"/>
        <w:jc w:val="left"/>
      </w:pPr>
      <w:r w:rsidRPr="003E2CFA">
        <w:t>OECD Income Distribution Database</w:t>
      </w:r>
      <w:r w:rsidR="005128E0">
        <w:t xml:space="preserve">, </w:t>
      </w:r>
      <w:hyperlink r:id="rId95" w:history="1">
        <w:r w:rsidR="002110BD" w:rsidRPr="002110BD">
          <w:rPr>
            <w:rStyle w:val="Hipervnculo"/>
            <w:color w:val="0000FF"/>
            <w:u w:val="single"/>
          </w:rPr>
          <w:t>http://www.oecd.org/social/income-distribution-database.htm.</w:t>
        </w:r>
      </w:hyperlink>
    </w:p>
    <w:p w:rsidR="00473421" w:rsidRPr="00031FBA" w:rsidRDefault="00473421" w:rsidP="005128E0">
      <w:pPr>
        <w:pStyle w:val="Biblio-Entry"/>
        <w:jc w:val="left"/>
        <w:rPr>
          <w:lang w:val="es-ES_tradnl"/>
        </w:rPr>
      </w:pPr>
      <w:r w:rsidRPr="00031FBA">
        <w:rPr>
          <w:lang w:val="es-ES_tradnl"/>
        </w:rPr>
        <w:t>OECD Regional Database</w:t>
      </w:r>
      <w:r w:rsidR="005128E0" w:rsidRPr="00031FBA">
        <w:rPr>
          <w:lang w:val="es-ES_tradnl"/>
        </w:rPr>
        <w:t>,</w:t>
      </w:r>
      <w:r w:rsidR="002110BD">
        <w:rPr>
          <w:lang w:val="es-ES_tradnl"/>
        </w:rPr>
        <w:t xml:space="preserve"> </w:t>
      </w:r>
      <w:hyperlink r:id="rId96" w:history="1">
        <w:r w:rsidR="002110BD" w:rsidRPr="002110BD">
          <w:rPr>
            <w:rStyle w:val="Hipervnculo"/>
            <w:color w:val="0000FF"/>
            <w:u w:val="single"/>
          </w:rPr>
          <w:t>http://www.oecd.org/cfe/regional-policy/regionalstatisticsandindicators.htm</w:t>
        </w:r>
      </w:hyperlink>
      <w:r w:rsidR="005128E0" w:rsidRPr="002110BD">
        <w:rPr>
          <w:rStyle w:val="Hipervnculo"/>
          <w:color w:val="0000FF"/>
          <w:u w:val="single"/>
        </w:rPr>
        <w:t>.</w:t>
      </w:r>
    </w:p>
    <w:p w:rsidR="00473421" w:rsidRDefault="00473421" w:rsidP="005128E0">
      <w:pPr>
        <w:pStyle w:val="Biblio-Entry"/>
        <w:jc w:val="left"/>
      </w:pPr>
      <w:r w:rsidRPr="003E2CFA">
        <w:t>OECD Wealth Distribution Database</w:t>
      </w:r>
      <w:r>
        <w:t xml:space="preserve">, </w:t>
      </w:r>
      <w:hyperlink r:id="rId97" w:history="1">
        <w:r w:rsidRPr="00306221">
          <w:rPr>
            <w:rStyle w:val="Hipervnculo"/>
            <w:color w:val="0000FF"/>
            <w:u w:val="single"/>
            <w:lang w:val="en"/>
          </w:rPr>
          <w:t>http://stats.oecd.org/index.aspx?DatasetCode=WEALTH</w:t>
        </w:r>
      </w:hyperlink>
      <w:r>
        <w:t>.</w:t>
      </w:r>
    </w:p>
    <w:p w:rsidR="00BC4FD1" w:rsidRPr="00473421" w:rsidRDefault="00BC4FD1" w:rsidP="001260CA">
      <w:pPr>
        <w:pStyle w:val="Ttulo1"/>
        <w:rPr>
          <w:lang w:val="en-US"/>
        </w:rPr>
      </w:pPr>
    </w:p>
    <w:sectPr w:rsidR="00BC4FD1" w:rsidRPr="00473421" w:rsidSect="001260CA">
      <w:headerReference w:type="even" r:id="rId98"/>
      <w:headerReference w:type="default" r:id="rId99"/>
      <w:footerReference w:type="even" r:id="rId100"/>
      <w:footerReference w:type="default" r:id="rId101"/>
      <w:endnotePr>
        <w:numFmt w:val="decimal"/>
        <w:numRestart w:val="eachSect"/>
      </w:endnotePr>
      <w:type w:val="oddPage"/>
      <w:pgSz w:w="11906" w:h="16838" w:code="9"/>
      <w:pgMar w:top="2098" w:right="1304" w:bottom="1928" w:left="1304" w:header="1531" w:footer="1474"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F05" w:rsidRPr="00DF4C8D" w:rsidRDefault="00BB0F05" w:rsidP="00DF4C8D">
      <w:pPr>
        <w:pStyle w:val="Piedepgina"/>
      </w:pPr>
    </w:p>
  </w:endnote>
  <w:endnote w:type="continuationSeparator" w:id="0">
    <w:p w:rsidR="00BB0F05" w:rsidRPr="00DF4C8D" w:rsidRDefault="00BB0F05" w:rsidP="00DF4C8D">
      <w:pPr>
        <w:pStyle w:val="Piedepgina"/>
      </w:pPr>
    </w:p>
  </w:endnote>
  <w:endnote w:id="1">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Non-standard employment has increased in most OECD countries at a moderate pace since the mid-1980s, although its share has declined in European Nordic countries (OECD, 2015a).</w:t>
      </w:r>
    </w:p>
  </w:endnote>
  <w:endnote w:id="2">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Regions within the 34 OECD countries are classified on two territorial levels reflecting the administrative organisation of countries. The 391 OECD large (TL2) regions represent the first administrative tier of subnational government. The 2 197 OECD small (TL3) regions are contained in a TL2 region.</w:t>
      </w:r>
    </w:p>
  </w:endnote>
  <w:endnote w:id="3">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The new collected data show estimated longevity gaps at age 65 between the highest and lowest education groups which are </w:t>
      </w:r>
      <w:r>
        <w:t xml:space="preserve">substantially larger in most countries than </w:t>
      </w:r>
      <w:r w:rsidRPr="00DF4C8D">
        <w:t>those found in previous studies, due to more precise information on mortality after the age of 75 (see Chapter 4).</w:t>
      </w:r>
    </w:p>
  </w:endnote>
  <w:endnote w:id="4">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It uses data from the Harmonized Survey of Health, Ageing, and Retirement in Europe (SHARE) 2004-2013, Health and Retirement Survey (HRS) in the United States 2000-2014, English Longitudinal Study of Ageing (ELSA) 2002-2012, Japanese Study on Aging and Retirement (JSTAR) 2007-2011, and China Health and Retirement Longitudinal Study (CHARLS) 2011-2013. The 12 European countries are Austria, Belgium, Czech Republic, Denmark, England, France, Germany, Italy, Netherlands, Spain, Sweden and Switzerland. Disability is measured using four self-reported indices: i) at least one limitation in Activity of Daily Living (ADL), ii) at least one limitation restriction in Instrumental Activity of Daily Living (IADL), iii) at least one functional limitation related to mobility, and iv) being limited in paid work because of a health problem. See Box 6.4 in Chapter 6 for the full list of limitations in ADL and IADL that are considered.</w:t>
      </w:r>
    </w:p>
  </w:endnote>
  <w:endnote w:id="5">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These absolute values should be taken cautiously as true limitations could be overestimated given that studies (e.g. Bound, 1991; Baker et al., 2004) find that some non-employed workers report worse than actual health to justify not working. </w:t>
      </w:r>
    </w:p>
  </w:endnote>
  <w:endnote w:id="6">
    <w:p w:rsidR="00BB0F05" w:rsidRPr="00DF4C8D" w:rsidRDefault="00BB0F05" w:rsidP="00C87B5D">
      <w:pPr>
        <w:pStyle w:val="Textonotaalfinal"/>
        <w:ind w:right="821"/>
      </w:pPr>
      <w:r w:rsidRPr="00DF4C8D">
        <w:rPr>
          <w:rStyle w:val="Refdenotaalfinal"/>
          <w:vertAlign w:val="baseline"/>
        </w:rPr>
        <w:endnoteRef/>
      </w:r>
      <w:r w:rsidRPr="00DF4C8D">
        <w:t>.</w:t>
      </w:r>
      <w:r w:rsidRPr="00DF4C8D">
        <w:tab/>
      </w:r>
      <w:r w:rsidRPr="00DF4C8D">
        <w:rPr>
          <w:i/>
        </w:rPr>
        <w:t>2016 OECD Income Distribution Database</w:t>
      </w:r>
      <w:r w:rsidRPr="00DF4C8D">
        <w:t>.</w:t>
      </w:r>
    </w:p>
  </w:endnote>
  <w:endnote w:id="7">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In each country, it is assumed for estimation purposes that the level of inequality differs across cohorts but that the evolution of inequality with age is the same across cohorts (age and cohort fixed effects). </w:t>
      </w:r>
    </w:p>
  </w:endnote>
  <w:endnote w:id="8">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In Australia and Switzerland,</w:t>
      </w:r>
      <w:r>
        <w:t xml:space="preserve"> </w:t>
      </w:r>
      <w:r w:rsidRPr="00DF4C8D">
        <w:t>this partly reflect the fact that many pensioners have taken their accumulated pensions as lump sums, which are not counted as current income, rather than annuitising them to provide income streams.</w:t>
      </w:r>
    </w:p>
  </w:endnote>
  <w:endnote w:id="9">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Family affluence is defined as a four-item measure of family wealth that includes: car possession, the availability of a bedroom for each child, holiday or travel over the last 12 months, and the number of computers owned by the family. The scale has been developed in the World Health Organization (WHO) Health Behaviour in School-aged Children Study.</w:t>
      </w:r>
    </w:p>
  </w:endnote>
  <w:endnote w:id="10">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Determining how exactly health affects labour market outcomes is complicated for various reasons. Beyond two-way causation, there are also other, unobserved factors that affect health and labour market outcomes, and measuring the true health status is also a challenge. Moreover, because the employed and non-employed might differ in characteristics that influence both wages and health, but that are not captured in the data </w:t>
      </w:r>
      <w:r>
        <w:t>– </w:t>
      </w:r>
      <w:r w:rsidRPr="00DF4C8D">
        <w:t>such as individuals’ motivation</w:t>
      </w:r>
      <w:r>
        <w:t> –</w:t>
      </w:r>
      <w:r w:rsidRPr="00DF4C8D">
        <w:t xml:space="preserve"> the estimated effect of health on wages is prone to sample selection biases. Best efforts to correct for these limitations are discussed in greater detail in Chapter 2. Estimates presented in this report should thus be treated with caution and taken to indicate approximate rather than precise effects.</w:t>
      </w:r>
    </w:p>
  </w:endnote>
  <w:endnote w:id="11">
    <w:p w:rsidR="00BB0F05" w:rsidRPr="00DF4C8D" w:rsidRDefault="00BB0F05" w:rsidP="00C87B5D">
      <w:pPr>
        <w:pStyle w:val="Textonotaalfinal"/>
        <w:ind w:right="821"/>
        <w:rPr>
          <w:rStyle w:val="Refdenotaalfinal"/>
          <w:vertAlign w:val="baseline"/>
        </w:rPr>
      </w:pPr>
      <w:r w:rsidRPr="00DF4C8D">
        <w:rPr>
          <w:rStyle w:val="Refdenotaalfinal"/>
          <w:vertAlign w:val="baseline"/>
        </w:rPr>
        <w:endnoteRef/>
      </w:r>
      <w:r w:rsidRPr="00DF4C8D">
        <w:rPr>
          <w:rStyle w:val="Refdenotaalfinal"/>
          <w:vertAlign w:val="baseline"/>
        </w:rPr>
        <w:t>.</w:t>
      </w:r>
      <w:r w:rsidRPr="00DF4C8D">
        <w:rPr>
          <w:rStyle w:val="Refdenotaalfinal"/>
          <w:vertAlign w:val="baseline"/>
        </w:rPr>
        <w:tab/>
        <w:t>The effective age of labour market exit was only higher in 2000 than in 2014 for men in Denmark, Greece, Iceland, Japan and Mexico and women in Greece, Ireland and Mexico.</w:t>
      </w:r>
    </w:p>
  </w:endnote>
  <w:endnote w:id="12">
    <w:p w:rsidR="00BB0F05" w:rsidRPr="00DF4C8D" w:rsidRDefault="00BB0F05" w:rsidP="00C87B5D">
      <w:pPr>
        <w:pStyle w:val="Textonotaalfinal"/>
        <w:ind w:right="821"/>
      </w:pPr>
      <w:r w:rsidRPr="00DF4C8D">
        <w:rPr>
          <w:rStyle w:val="Refdenotaalfinal"/>
          <w:vertAlign w:val="baseline"/>
        </w:rPr>
        <w:endnoteRef/>
      </w:r>
      <w:r w:rsidRPr="00DF4C8D">
        <w:t>.</w:t>
      </w:r>
      <w:r w:rsidRPr="00DF4C8D">
        <w:tab/>
      </w:r>
      <w:r w:rsidRPr="00DF4C8D">
        <w:rPr>
          <w:sz w:val="18"/>
          <w:szCs w:val="18"/>
        </w:rPr>
        <w:t xml:space="preserve">This part </w:t>
      </w:r>
      <w:r w:rsidRPr="00DF4C8D">
        <w:t>is based on the Survey on Health, Ageing and Retirement in Europe (SHARE), the Health and Retirement Study (HRS) and the English Longitudinal Study on Ageing (ELSA), covering many European countries, Israel and the United Stated. T</w:t>
      </w:r>
      <w:r w:rsidRPr="00DF4C8D">
        <w:rPr>
          <w:lang w:val="en-US" w:bidi="en-US"/>
        </w:rPr>
        <w:t>he OECD has computed an aggregate measure of health from of a number of health indicators, including self-assessed health and a personal history of diabetes, high blood pressure, cancer, mental health problems and previous stays in hospital (see Chapter 5).</w:t>
      </w:r>
    </w:p>
  </w:endnote>
  <w:endnote w:id="13">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The covered period varies across countries. Birth cohorts are grouped per decade of birth year: from 1910-1919 to 1980-89 while age groups cover five-year periods.</w:t>
      </w:r>
    </w:p>
  </w:endnote>
  <w:endnote w:id="14">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With currently available data, when period effects are explicitly controlled for, such as through the Deaton-Paxson transformation (Deaton and Paxson, 1994), the age-cohort patterns are basically similar to the unadjusted ones shown in Figure 2. The Deaton-Paxson normalisation constrains the estimated time effects to be orthogonal to a linear time trend and to add up to zero. Hence, any linear time trend is therefore attributed to cohort and/or age effects, but not to time effects.</w:t>
      </w:r>
    </w:p>
  </w:endnote>
  <w:endnote w:id="15">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For Australia and Switzerland, this is subject to data limitations referred to in the endnote 8.</w:t>
      </w:r>
    </w:p>
  </w:endnote>
  <w:endnote w:id="16">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The linear correlation coefficient is 0.87 between the two series.</w:t>
      </w:r>
    </w:p>
  </w:endnote>
  <w:endnote w:id="17">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Persons living in collective households and in institutions are generally excluded from surveys used in the OECD Income Distribution database.</w:t>
      </w:r>
    </w:p>
  </w:endnote>
  <w:endnote w:id="18">
    <w:p w:rsidR="00BB0F05" w:rsidRPr="00DF4C8D" w:rsidRDefault="00BB0F05" w:rsidP="00C87B5D">
      <w:pPr>
        <w:pStyle w:val="Textonotaalfinal"/>
        <w:ind w:right="821"/>
        <w:rPr>
          <w:rStyle w:val="Refdenotaalfinal"/>
          <w:vertAlign w:val="baseline"/>
        </w:rPr>
      </w:pPr>
      <w:r w:rsidRPr="00DF4C8D">
        <w:rPr>
          <w:rStyle w:val="Refdenotaalfinal"/>
          <w:vertAlign w:val="baseline"/>
        </w:rPr>
        <w:endnoteRef/>
      </w:r>
      <w:r w:rsidRPr="00DF4C8D">
        <w:t>.</w:t>
      </w:r>
      <w:r w:rsidRPr="00DF4C8D">
        <w:tab/>
        <w:t>In Chile, just taking into account gender differences in life expectancy lowers female pensions by 5% compared to male’s and the replacement rate from 39 to 37%; this comes on top of the impact of gender gaps in the labour market.</w:t>
      </w:r>
      <w:r>
        <w:t xml:space="preserve"> </w:t>
      </w:r>
    </w:p>
  </w:endnote>
  <w:endnote w:id="19">
    <w:p w:rsidR="00BB0F05" w:rsidRPr="00DF4C8D" w:rsidRDefault="00BB0F05" w:rsidP="00C87B5D">
      <w:pPr>
        <w:pStyle w:val="Textonotaalfinal"/>
        <w:ind w:right="821"/>
      </w:pPr>
      <w:r w:rsidRPr="00DF4C8D">
        <w:rPr>
          <w:rStyle w:val="Refdenotaalfinal"/>
          <w:vertAlign w:val="baseline"/>
        </w:rPr>
        <w:endnoteRef/>
      </w:r>
      <w:r w:rsidRPr="00DF4C8D">
        <w:t>.</w:t>
      </w:r>
      <w:r w:rsidRPr="00DF4C8D">
        <w:tab/>
      </w:r>
      <w:r w:rsidRPr="00DF4C8D">
        <w:rPr>
          <w:rStyle w:val="Refdenotaalfinal"/>
          <w:vertAlign w:val="baseline"/>
        </w:rPr>
        <w:t>The pension wealth calculations assume that people work until the normal retirement age. Given the socio-economic differences in health status</w:t>
      </w:r>
      <w:r w:rsidRPr="00DF4C8D">
        <w:t xml:space="preserve"> and employment rates</w:t>
      </w:r>
      <w:r w:rsidRPr="00DF4C8D">
        <w:rPr>
          <w:rStyle w:val="Refdenotaalfinal"/>
          <w:vertAlign w:val="baseline"/>
        </w:rPr>
        <w:t xml:space="preserve">, however, the increase in the statutory retirement age </w:t>
      </w:r>
      <w:r w:rsidRPr="00DF4C8D">
        <w:t xml:space="preserve">might raise the effective retirement age less for </w:t>
      </w:r>
      <w:r w:rsidRPr="00DF4C8D">
        <w:rPr>
          <w:rStyle w:val="Refdenotaalfinal"/>
          <w:vertAlign w:val="baseline"/>
        </w:rPr>
        <w:t>low-educated than high-educated workers.</w:t>
      </w:r>
    </w:p>
  </w:endnote>
  <w:endnote w:id="20">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Estimates for France include the </w:t>
      </w:r>
      <w:r w:rsidRPr="00DF4C8D">
        <w:rPr>
          <w:i/>
        </w:rPr>
        <w:t>Allocation personnalisée d’autonomie</w:t>
      </w:r>
      <w:r w:rsidRPr="00DF4C8D">
        <w:t xml:space="preserve"> (APA) and tax reductions for disabled people. Some people in France get LTC through their health insurance, but access to this cover varies by region. Where people do get support from health insurance, coverage may be more comprehensive than shown in Figure 1.23. Future work will explore this issue in more detail.</w:t>
      </w:r>
    </w:p>
  </w:endnote>
  <w:endnote w:id="21">
    <w:p w:rsidR="00BB0F05" w:rsidRPr="00DF4C8D" w:rsidRDefault="00BB0F05" w:rsidP="00C87B5D">
      <w:pPr>
        <w:pStyle w:val="Textonotaalfinal"/>
        <w:ind w:right="821"/>
        <w:rPr>
          <w:color w:val="0000FF"/>
        </w:rPr>
      </w:pPr>
      <w:r w:rsidRPr="00DF4C8D">
        <w:rPr>
          <w:rStyle w:val="Refdenotaalfinal"/>
          <w:vertAlign w:val="baseline"/>
        </w:rPr>
        <w:endnoteRef/>
      </w:r>
      <w:r w:rsidRPr="00DF4C8D">
        <w:t>.</w:t>
      </w:r>
      <w:r w:rsidRPr="00DF4C8D">
        <w:tab/>
      </w:r>
      <w:hyperlink r:id="rId1" w:history="1">
        <w:r w:rsidRPr="00FE5344">
          <w:rPr>
            <w:rStyle w:val="Hipervnculo"/>
            <w:color w:val="0000FF"/>
            <w:u w:val="single"/>
          </w:rPr>
          <w:t>http://www.springboardcourses.ie/pdfs/Springboard%20Trend%20Analysis.pdf</w:t>
        </w:r>
      </w:hyperlink>
      <w:r w:rsidRPr="00DF4C8D">
        <w:rPr>
          <w:rStyle w:val="Hipervnculo"/>
          <w:rFonts w:eastAsia="Calibri"/>
          <w:color w:val="0000FF"/>
        </w:rPr>
        <w:t>.</w:t>
      </w:r>
    </w:p>
  </w:endnote>
  <w:endnote w:id="22">
    <w:p w:rsidR="00BB0F05" w:rsidRPr="00DF4C8D" w:rsidRDefault="00BB0F05" w:rsidP="00C87B5D">
      <w:pPr>
        <w:pStyle w:val="Textonotaalfinal"/>
        <w:ind w:right="821"/>
      </w:pPr>
      <w:r w:rsidRPr="00DF4C8D">
        <w:rPr>
          <w:rStyle w:val="Refdenotaalfinal"/>
          <w:vertAlign w:val="baseline"/>
        </w:rPr>
        <w:endnoteRef/>
      </w:r>
      <w:r w:rsidRPr="00DF4C8D">
        <w:t>.</w:t>
      </w:r>
      <w:r>
        <w:tab/>
      </w:r>
      <w:hyperlink r:id="rId2" w:history="1">
        <w:r w:rsidRPr="00FE5344">
          <w:rPr>
            <w:rStyle w:val="Hipervnculo"/>
            <w:color w:val="0000FF"/>
            <w:u w:val="single"/>
          </w:rPr>
          <w:t>http://www.akava.fi/en/current_issues/current_themes/longer_careers_with_</w:t>
        </w:r>
        <w:r w:rsidRPr="00FE5344">
          <w:rPr>
            <w:rStyle w:val="Hipervnculo"/>
            <w:color w:val="0000FF"/>
            <w:u w:val="single"/>
          </w:rPr>
          <w:br/>
          <w:t>the_job_life_cycle_model</w:t>
        </w:r>
      </w:hyperlink>
      <w:r w:rsidRPr="004B67AC">
        <w:rPr>
          <w:color w:val="0000FF"/>
        </w:rPr>
        <w:t>.</w:t>
      </w:r>
    </w:p>
  </w:endnote>
  <w:endnote w:id="23">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The exception to common mortality tables is the use of gender-specific tables in Chile, Indonesia and Mexico. Gender-specific mortality tables lead to lower pensions for women with the same pension contributions as men given that women live longer on average; with respect to life expectancy this is thus “fairer” but, at the same time, women are disadvantaged during their working lives through persistent wage and employment gender gaps; while addressing life expectancy inequality, gender-specific tables therefore exacerbate the economic vulnerability of older women.</w:t>
      </w:r>
    </w:p>
  </w:endnote>
  <w:endnote w:id="24">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 xml:space="preserve">There are no mandatory survivors pensions in Australia either, but accumulated pension assets are predominantly withdrawn as lump sums and pension balances are transferrable to the spouse on death of the holder. </w:t>
      </w:r>
    </w:p>
  </w:endnote>
  <w:endnote w:id="25">
    <w:p w:rsidR="00BB0F05" w:rsidRPr="00DF4C8D" w:rsidRDefault="00BB0F05" w:rsidP="00C87B5D">
      <w:pPr>
        <w:pStyle w:val="Textonotaalfinal"/>
        <w:ind w:right="821"/>
      </w:pPr>
      <w:r w:rsidRPr="00DF4C8D">
        <w:rPr>
          <w:rStyle w:val="Refdenotaalfinal"/>
          <w:vertAlign w:val="baseline"/>
        </w:rPr>
        <w:endnoteRef/>
      </w:r>
      <w:r w:rsidRPr="00DF4C8D">
        <w:t>.</w:t>
      </w:r>
      <w:r w:rsidRPr="00DF4C8D">
        <w:tab/>
        <w:t>In Portugal, the Ministry of Health proposed a National Strategy for Active and Healthy Ageing. An interministerial work group was created in October 2016 to develop the Strategy. It is meant to help local authorities and policy makers in charge of social, labour market and health policies co-ordinate their actions to promote active and healthy ageing.</w:t>
      </w:r>
    </w:p>
  </w:endnote>
  <w:endnote w:id="26">
    <w:p w:rsidR="00BB0F05" w:rsidRPr="00DF4C8D" w:rsidRDefault="00BB0F05" w:rsidP="00C87B5D">
      <w:pPr>
        <w:pStyle w:val="Textonotaalfinal"/>
        <w:ind w:right="821"/>
      </w:pPr>
      <w:r w:rsidRPr="00DF4C8D">
        <w:rPr>
          <w:rStyle w:val="Refdenotaalfinal"/>
          <w:vertAlign w:val="baseline"/>
        </w:rPr>
        <w:endnoteRef/>
      </w:r>
      <w:r w:rsidRPr="00DF4C8D">
        <w:t>.</w:t>
      </w:r>
      <w:r w:rsidRPr="00DF4C8D">
        <w:tab/>
      </w:r>
      <w:hyperlink r:id="rId3" w:history="1">
        <w:r w:rsidRPr="00FE5344">
          <w:rPr>
            <w:rStyle w:val="Hipervnculo"/>
            <w:color w:val="0000FF"/>
            <w:u w:val="single"/>
          </w:rPr>
          <w:t>http://europa.eu/rapid/press-release_IP-17-1006_en.htm</w:t>
        </w:r>
      </w:hyperlink>
      <w:r w:rsidRPr="00DF4C8D">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StatLink">
    <w:altName w:val="Times New Roman"/>
    <w:charset w:val="00"/>
    <w:family w:val="auto"/>
    <w:pitch w:val="variable"/>
    <w:sig w:usb0="80000003" w:usb1="00000000" w:usb2="00000000" w:usb3="00000000" w:csb0="00000001" w:csb1="00000000"/>
  </w:font>
  <w:font w:name="Caecilia-Roman">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BB0F05" w:rsidP="004166D6">
    <w:pPr>
      <w:pStyle w:val="Piedepgina"/>
      <w:jc w:val="right"/>
    </w:pPr>
    <w:r>
      <w:rPr>
        <w:rStyle w:val="Nmerodepgina"/>
      </w:rPr>
      <w:t>PREVENTING AGEING UNEQUALLY © OECD 2017</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BB0F05" w:rsidP="000C0467">
    <w:pPr>
      <w:pStyle w:val="Piedepgina"/>
      <w:jc w:val="right"/>
    </w:pPr>
    <w:r>
      <w:rPr>
        <w:rStyle w:val="Nmerodepgina"/>
      </w:rPr>
      <w:t>PREVENTING AGEING UNEQUALLY © OECD 2017</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CE1390" w:rsidRDefault="00BB0F05" w:rsidP="0075163D">
    <w:pPr>
      <w:pStyle w:val="Piedepgina"/>
    </w:pPr>
    <w:r>
      <w:rPr>
        <w:rStyle w:val="Nmerodepgina"/>
      </w:rPr>
      <w:t>PREVENTING AGEING UNEQUALLY © OECD 2017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124CC0" w:rsidRDefault="00BB0F05" w:rsidP="0075163D">
    <w:pPr>
      <w:pStyle w:val="Piedepgina"/>
    </w:pPr>
    <w:r>
      <w:rPr>
        <w:rStyle w:val="Nmerodepgina"/>
      </w:rPr>
      <w:t>PREVENTING AGEING UNEQUALLY © OECD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F365F2" w:rsidRDefault="00BB0F05" w:rsidP="000C0467">
    <w:pPr>
      <w:pStyle w:val="Piedepgina"/>
      <w:jc w:val="right"/>
    </w:pPr>
    <w:r>
      <w:rPr>
        <w:rStyle w:val="Nmerodepgina"/>
      </w:rPr>
      <w:t>PREVENTING AGEING UNEQUALLY © OECD 2017</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881024" w:rsidRDefault="00BB0F05" w:rsidP="00BC4FD1">
    <w:pPr>
      <w:pStyle w:val="Piedepgina"/>
    </w:pPr>
    <w:r>
      <w:rPr>
        <w:rStyle w:val="Nmerodepgina"/>
      </w:rPr>
      <w:t>PREVENTING AGEING UNEQUALLY © OECD 2017</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BB0F05">
    <w:pPr>
      <w:pStyle w:val="Piedepgina"/>
    </w:pPr>
    <w:r>
      <w:rPr>
        <w:rStyle w:val="Nmerodepgina"/>
      </w:rPr>
      <w:t>BOOK TITLE IN CAPITALS – ISBN-92-64-XXXXX-X © OECD 2004</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BB0F05" w:rsidP="00534ED8">
    <w:pPr>
      <w:pStyle w:val="Piedepgina"/>
      <w:jc w:val="right"/>
    </w:pPr>
    <w:r>
      <w:rPr>
        <w:rStyle w:val="Nmerodepgina"/>
      </w:rPr>
      <w:t>PREVENTING AGEING UNEQUALLY © OECD 2017</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146339" w:rsidRDefault="00BB0F05" w:rsidP="00AB4AB5">
    <w:pPr>
      <w:pStyle w:val="Piedepgina"/>
    </w:pPr>
    <w:r>
      <w:rPr>
        <w:rStyle w:val="Nmerodepgina"/>
      </w:rPr>
      <w:t>PREVENTING AGEING UNEQUALLY © OECD 2017</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BB0F05" w:rsidP="000C0467">
    <w:pPr>
      <w:pStyle w:val="Piedepgina"/>
      <w:jc w:val="right"/>
    </w:pPr>
    <w:r>
      <w:rPr>
        <w:rStyle w:val="Nmerodepgina"/>
      </w:rPr>
      <w:t>PREVENTING AGEING UNEQUALLY © OECD 2017</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AD129E" w:rsidRDefault="00BB0F05" w:rsidP="0075163D">
    <w:pPr>
      <w:pStyle w:val="Piedepgina"/>
    </w:pPr>
    <w:r>
      <w:rPr>
        <w:rStyle w:val="Nmerodepgina"/>
      </w:rPr>
      <w:t>PREVENTING AGEING UNEQUALLY © OECD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F05" w:rsidRDefault="00BB0F05">
      <w:r>
        <w:separator/>
      </w:r>
    </w:p>
  </w:footnote>
  <w:footnote w:type="continuationSeparator" w:id="0">
    <w:p w:rsidR="00BB0F05" w:rsidRDefault="00BB0F05">
      <w:r>
        <w:continuationSeparator/>
      </w:r>
    </w:p>
  </w:footnote>
  <w:footnote w:id="1">
    <w:p w:rsidR="00BB0F05" w:rsidRPr="002A46CC" w:rsidRDefault="00BB0F05" w:rsidP="00D51A14">
      <w:pPr>
        <w:pStyle w:val="Textonotapie"/>
        <w:rPr>
          <w:lang w:val="fr-FR"/>
        </w:rPr>
      </w:pPr>
      <w:r w:rsidRPr="008E6454">
        <w:rPr>
          <w:rStyle w:val="Refdenotaalpie"/>
          <w:vertAlign w:val="baseline"/>
        </w:rPr>
        <w:footnoteRef/>
      </w:r>
      <w:r>
        <w:t>.</w:t>
      </w:r>
      <w:r>
        <w:tab/>
      </w:r>
      <w:hyperlink r:id="rId1" w:history="1">
        <w:r w:rsidRPr="008E6454">
          <w:rPr>
            <w:rStyle w:val="Hipervnculo"/>
            <w:color w:val="0000FF"/>
            <w:u w:val="single"/>
          </w:rPr>
          <w:t>https://www.oecd.org/social/C-MIN-2017-6-EN.pdf</w:t>
        </w:r>
      </w:hyperlink>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764BA7">
    <w:pPr>
      <w:pStyle w:val="Encabezado"/>
      <w:rPr>
        <w:caps w:val="0"/>
      </w:rPr>
    </w:pPr>
    <w:r>
      <w:rPr>
        <w:caps w:val="0"/>
        <w:noProof/>
        <w:sz w:val="22"/>
        <w:szCs w:val="22"/>
        <w:lang w:val="es-ES" w:eastAsia="es-E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wYkR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4</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FOREWORD</w:t>
    </w:r>
  </w:p>
  <w:p w:rsidR="00BB0F05" w:rsidRDefault="00BB0F05" w:rsidP="00764BA7">
    <w:pPr>
      <w:pStyle w:val="Encabezado"/>
      <w:rPr>
        <w:caps w:val="0"/>
      </w:rPr>
    </w:pPr>
  </w:p>
  <w:p w:rsidR="00BB0F05" w:rsidRDefault="00BB0F05" w:rsidP="00764BA7">
    <w:pPr>
      <w:pStyle w:val="Encabezado"/>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886A82">
    <w:pPr>
      <w:pStyle w:val="Encabezado"/>
      <w:rPr>
        <w:caps w:val="0"/>
      </w:rPr>
    </w:pPr>
    <w:r>
      <w:rPr>
        <w:caps w:val="0"/>
        <w:noProof/>
        <w:sz w:val="22"/>
        <w:szCs w:val="22"/>
        <w:lang w:val="es-ES" w:eastAsia="es-E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u7mBM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14</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ACRONYMS AND CONVENTIONAL SIGNS</w:t>
    </w:r>
  </w:p>
  <w:p w:rsidR="00BB0F05" w:rsidRDefault="00BB0F05" w:rsidP="00886A82">
    <w:pPr>
      <w:pStyle w:val="Encabezado"/>
      <w:rPr>
        <w:caps w:val="0"/>
      </w:rPr>
    </w:pPr>
  </w:p>
  <w:p w:rsidR="00BB0F05" w:rsidRDefault="00BB0F05" w:rsidP="00886A82">
    <w:pPr>
      <w:pStyle w:val="Encabezado"/>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886A82">
    <w:pPr>
      <w:pStyle w:val="Encabezado"/>
      <w:rPr>
        <w:caps w:val="0"/>
      </w:rPr>
    </w:pPr>
    <w:r>
      <w:rPr>
        <w:caps w:val="0"/>
        <w:noProof/>
        <w:sz w:val="22"/>
        <w:szCs w:val="22"/>
        <w:lang w:val="es-ES" w:eastAsia="es-E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NkxBMCAAAqBAAADgAAAGRycy9lMm9Eb2MueG1srFPBjtowEL1X6j9YvkMSNqE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sidR="00BB0F05">
      <w:rPr>
        <w:b/>
        <w:caps w:val="0"/>
        <w:noProof/>
        <w:sz w:val="22"/>
        <w:szCs w:val="22"/>
        <w:lang w:val="en-US"/>
      </w:rPr>
      <w:t>253</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ACRONYMS AND CONVENTIONAL SIGNS</w:t>
    </w:r>
  </w:p>
  <w:p w:rsidR="00BB0F05" w:rsidRDefault="00BB0F05" w:rsidP="00886A82">
    <w:pPr>
      <w:pStyle w:val="Encabezado"/>
      <w:rPr>
        <w:caps w:val="0"/>
      </w:rPr>
    </w:pPr>
  </w:p>
  <w:p w:rsidR="00BB0F05" w:rsidRDefault="00BB0F05" w:rsidP="00886A82">
    <w:pPr>
      <w:pStyle w:val="Encabezado"/>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57thM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" strokeweight=".5pt"/>
          </w:pict>
        </mc:Fallback>
      </mc:AlternateContent>
    </w:r>
    <w:r w:rsidR="00BB0F05">
      <w:rPr>
        <w:caps w:val="0"/>
      </w:rPr>
      <w:t>ACRONYMS AND CONVENTIONAL SIGNS</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sidR="00BB0F05">
      <w:rPr>
        <w:b/>
        <w:caps w:val="0"/>
        <w:noProof/>
        <w:sz w:val="22"/>
        <w:szCs w:val="22"/>
      </w:rPr>
      <w:t>253</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886A82">
    <w:pPr>
      <w:pStyle w:val="Encabezado"/>
      <w:rPr>
        <w:caps w:val="0"/>
      </w:rPr>
    </w:pPr>
    <w:r>
      <w:rPr>
        <w:caps w:val="0"/>
        <w:noProof/>
        <w:sz w:val="22"/>
        <w:szCs w:val="22"/>
        <w:lang w:val="es-ES" w:eastAsia="es-E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jQEBM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sidR="00BB0F05">
      <w:rPr>
        <w:b/>
        <w:caps w:val="0"/>
        <w:noProof/>
        <w:sz w:val="22"/>
        <w:szCs w:val="22"/>
        <w:lang w:val="en-US"/>
      </w:rPr>
      <w:t>253</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ACRONYMS AND CONVENTIONAL SIGNS</w:t>
    </w:r>
  </w:p>
  <w:p w:rsidR="00BB0F05" w:rsidRDefault="00BB0F05" w:rsidP="00886A82">
    <w:pPr>
      <w:pStyle w:val="Encabezado"/>
      <w:rPr>
        <w:caps w:val="0"/>
      </w:rPr>
    </w:pPr>
  </w:p>
  <w:p w:rsidR="00BB0F05" w:rsidRDefault="00BB0F05" w:rsidP="00886A82">
    <w:pPr>
      <w:pStyle w:val="Encabezado"/>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4/RMCAAAq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" strokeweight=".5pt"/>
          </w:pict>
        </mc:Fallback>
      </mc:AlternateContent>
    </w:r>
    <w:r w:rsidR="00BB0F05">
      <w:rPr>
        <w:caps w:val="0"/>
      </w:rPr>
      <w:t>ACRONYMS AND CONVENTIONAL SIGNS</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sidR="00BB0F05">
      <w:rPr>
        <w:b/>
        <w:caps w:val="0"/>
        <w:noProof/>
        <w:sz w:val="22"/>
        <w:szCs w:val="22"/>
      </w:rPr>
      <w:t>253</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473421">
    <w:pPr>
      <w:pStyle w:val="Encabezado"/>
      <w:rPr>
        <w:caps w:val="0"/>
      </w:rPr>
    </w:pPr>
    <w:r>
      <w:rPr>
        <w:caps w:val="0"/>
        <w:noProof/>
        <w:sz w:val="22"/>
        <w:szCs w:val="22"/>
        <w:lang w:val="es-ES" w:eastAsia="es-ES"/>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GFVRI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18</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EXECUTIVE SUMMARY</w:t>
    </w:r>
  </w:p>
  <w:p w:rsidR="00BB0F05" w:rsidRDefault="00BB0F05" w:rsidP="00473421">
    <w:pPr>
      <w:pStyle w:val="Encabezado"/>
      <w:rPr>
        <w:caps w:val="0"/>
      </w:rPr>
    </w:pPr>
  </w:p>
  <w:p w:rsidR="00BB0F05" w:rsidRDefault="00BB0F05" w:rsidP="00473421">
    <w:pPr>
      <w:pStyle w:val="Encabezado"/>
      <w:rPr>
        <w:caps w:val="0"/>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534ED8">
    <w:pPr>
      <w:pStyle w:val="Encabezado"/>
      <w:jc w:val="right"/>
    </w:pPr>
    <w:r>
      <w:rPr>
        <w:caps w:val="0"/>
        <w:noProof/>
        <w:lang w:val="es-ES" w:eastAsia="es-E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2srB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" strokeweight=".5pt"/>
          </w:pict>
        </mc:Fallback>
      </mc:AlternateContent>
    </w:r>
    <w:r w:rsidR="00BB0F05">
      <w:rPr>
        <w:caps w:val="0"/>
      </w:rPr>
      <w:t>EXECUTIVE SUMMARY</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17</w:t>
    </w:r>
    <w:r w:rsidR="00BB0F05" w:rsidRPr="003B6345">
      <w:rPr>
        <w:b/>
        <w:caps w:val="0"/>
        <w:sz w:val="22"/>
        <w:szCs w:val="22"/>
      </w:rPr>
      <w:fldChar w:fldCharType="end"/>
    </w:r>
  </w:p>
  <w:p w:rsidR="00BB0F05" w:rsidRDefault="00BB0F05" w:rsidP="00534ED8">
    <w:pPr>
      <w:pStyle w:val="Encabezado"/>
    </w:pPr>
  </w:p>
  <w:p w:rsidR="00BB0F05" w:rsidRPr="00D1302A" w:rsidRDefault="00BB0F05" w:rsidP="00534ED8">
    <w:pPr>
      <w:pStyle w:val="Encabezado"/>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473421">
    <w:pPr>
      <w:pStyle w:val="Encabezado"/>
      <w:rPr>
        <w:caps w:val="0"/>
      </w:rPr>
    </w:pPr>
    <w:r>
      <w:rPr>
        <w:caps w:val="0"/>
        <w:noProof/>
        <w:sz w:val="22"/>
        <w:szCs w:val="22"/>
        <w:lang w:val="es-ES" w:eastAsia="es-E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42</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1. PREVENTING AGEING UNEQUALLY</w:t>
    </w:r>
  </w:p>
  <w:p w:rsidR="00BB0F05" w:rsidRDefault="00BB0F05" w:rsidP="00473421">
    <w:pPr>
      <w:pStyle w:val="Encabezado"/>
      <w:rPr>
        <w:caps w:val="0"/>
      </w:rPr>
    </w:pPr>
  </w:p>
  <w:p w:rsidR="00BB0F05" w:rsidRDefault="00BB0F05" w:rsidP="00473421">
    <w:pPr>
      <w:pStyle w:val="Encabezado"/>
      <w:rPr>
        <w:caps w:val="0"/>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534ED8">
    <w:pPr>
      <w:pStyle w:val="Encabezado"/>
      <w:jc w:val="right"/>
    </w:pPr>
    <w:r>
      <w:rPr>
        <w:caps w:val="0"/>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z2cR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" strokeweight=".5pt"/>
          </w:pict>
        </mc:Fallback>
      </mc:AlternateContent>
    </w:r>
    <w:r w:rsidR="00BB0F05">
      <w:rPr>
        <w:caps w:val="0"/>
      </w:rPr>
      <w:t>1. PREVENTING AGEING UNEQUALLY</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43</w:t>
    </w:r>
    <w:r w:rsidR="00BB0F05" w:rsidRPr="003B6345">
      <w:rPr>
        <w:b/>
        <w:caps w:val="0"/>
        <w:sz w:val="22"/>
        <w:szCs w:val="22"/>
      </w:rPr>
      <w:fldChar w:fldCharType="end"/>
    </w:r>
  </w:p>
  <w:p w:rsidR="00BB0F05" w:rsidRDefault="00BB0F05" w:rsidP="00534ED8">
    <w:pPr>
      <w:pStyle w:val="Encabezado"/>
    </w:pPr>
  </w:p>
  <w:p w:rsidR="00BB0F05" w:rsidRPr="00D1302A" w:rsidRDefault="00BB0F05" w:rsidP="00534ED8">
    <w:pPr>
      <w:pStyle w:val="Encabezado"/>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473421">
    <w:pPr>
      <w:pStyle w:val="Encabezado"/>
      <w:rPr>
        <w:caps w:val="0"/>
      </w:rPr>
    </w:pPr>
    <w:r>
      <w:rPr>
        <w:caps w:val="0"/>
        <w:noProof/>
        <w:sz w:val="22"/>
        <w:szCs w:val="22"/>
        <w:lang w:val="es-ES" w:eastAsia="es-ES"/>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iyx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sidR="001260CA">
      <w:rPr>
        <w:b/>
        <w:caps w:val="0"/>
        <w:noProof/>
        <w:sz w:val="22"/>
        <w:szCs w:val="22"/>
        <w:lang w:val="en-US"/>
      </w:rPr>
      <w:t>70</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6. LIVING CONDITIONS IN LATER LIFE</w:t>
    </w:r>
  </w:p>
  <w:p w:rsidR="00BB0F05" w:rsidRDefault="00BB0F05" w:rsidP="00473421">
    <w:pPr>
      <w:pStyle w:val="Encabezado"/>
      <w:rPr>
        <w:caps w:val="0"/>
      </w:rPr>
    </w:pPr>
  </w:p>
  <w:p w:rsidR="00BB0F05" w:rsidRDefault="00BB0F05" w:rsidP="00473421">
    <w:pPr>
      <w:pStyle w:val="Encabezado"/>
      <w:rPr>
        <w:caps w:val="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473421">
    <w:pPr>
      <w:pStyle w:val="Encabezado"/>
      <w:jc w:val="right"/>
    </w:pPr>
    <w:r>
      <w:rPr>
        <w:caps w:val="0"/>
        <w:noProof/>
        <w:lang w:val="es-ES" w:eastAsia="es-ES"/>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vQPh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" strokeweight=".5pt"/>
          </w:pict>
        </mc:Fallback>
      </mc:AlternateContent>
    </w:r>
    <w:r w:rsidR="00BB0F05">
      <w:rPr>
        <w:caps w:val="0"/>
      </w:rPr>
      <w:t>FOREWORD</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3</w:t>
    </w:r>
    <w:r w:rsidR="00BB0F05" w:rsidRPr="003B6345">
      <w:rPr>
        <w:b/>
        <w:caps w:val="0"/>
        <w:sz w:val="22"/>
        <w:szCs w:val="22"/>
      </w:rPr>
      <w:fldChar w:fldCharType="end"/>
    </w:r>
  </w:p>
  <w:p w:rsidR="00BB0F05" w:rsidRDefault="00BB0F05" w:rsidP="00473421">
    <w:pPr>
      <w:pStyle w:val="Encabezado"/>
    </w:pPr>
  </w:p>
  <w:p w:rsidR="00BB0F05" w:rsidRPr="00D1302A" w:rsidRDefault="00BB0F05" w:rsidP="00473421">
    <w:pPr>
      <w:pStyle w:val="Encabezado"/>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534ED8">
    <w:pPr>
      <w:pStyle w:val="Encabezado"/>
      <w:ind w:right="-28"/>
      <w:jc w:val="right"/>
    </w:pPr>
    <w:r>
      <w:rPr>
        <w:caps w:val="0"/>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1AcR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" strokeweight=".5pt"/>
          </w:pict>
        </mc:Fallback>
      </mc:AlternateContent>
    </w:r>
    <w:r w:rsidR="00BB0F05">
      <w:rPr>
        <w:caps w:val="0"/>
      </w:rPr>
      <w:t>6. LIVING CONDITIONS IN LATER LIFE</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sidR="001260CA">
      <w:rPr>
        <w:b/>
        <w:caps w:val="0"/>
        <w:noProof/>
        <w:sz w:val="22"/>
        <w:szCs w:val="22"/>
      </w:rPr>
      <w:t>71</w:t>
    </w:r>
    <w:r w:rsidR="00BB0F05" w:rsidRPr="003B6345">
      <w:rPr>
        <w:b/>
        <w:caps w:val="0"/>
        <w:sz w:val="22"/>
        <w:szCs w:val="22"/>
      </w:rPr>
      <w:fldChar w:fldCharType="end"/>
    </w:r>
  </w:p>
  <w:p w:rsidR="00BB0F05" w:rsidRDefault="00BB0F05" w:rsidP="00473421">
    <w:pPr>
      <w:pStyle w:val="Encabezado"/>
    </w:pPr>
  </w:p>
  <w:p w:rsidR="00BB0F05" w:rsidRPr="00D1302A" w:rsidRDefault="00BB0F05" w:rsidP="00473421">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pPr>
      <w:pStyle w:val="Encabezado"/>
      <w:rPr>
        <w:caps w:val="0"/>
      </w:rPr>
    </w:pPr>
    <w:r>
      <w:rPr>
        <w:caps w:val="0"/>
        <w:noProof/>
        <w:sz w:val="22"/>
        <w:szCs w:val="22"/>
        <w:lang w:val="es-ES" w:eastAsia="es-ES"/>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2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6</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ACKNOWLEDGEMENTS</w:t>
    </w:r>
  </w:p>
  <w:p w:rsidR="00BB0F05" w:rsidRDefault="00BB0F05">
    <w:pPr>
      <w:pStyle w:val="Encabezado"/>
      <w:rPr>
        <w:caps w:val="0"/>
      </w:rPr>
    </w:pPr>
  </w:p>
  <w:p w:rsidR="00BB0F05" w:rsidRDefault="00BB0F05">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I7eBMCAAAp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" strokeweight=".5pt"/>
          </w:pict>
        </mc:Fallback>
      </mc:AlternateContent>
    </w:r>
    <w:r w:rsidR="00BB0F05">
      <w:rPr>
        <w:caps w:val="0"/>
      </w:rPr>
      <w:t>ACKNOWLEDGEMENTS</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5</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s8lR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" strokeweight=".5pt"/>
          </w:pict>
        </mc:Fallback>
      </mc:AlternateContent>
    </w:r>
    <w:r w:rsidR="00BB0F05">
      <w:rPr>
        <w:caps w:val="0"/>
      </w:rPr>
      <w:t>CHAPTER TITLE</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sidR="00BB0F05">
      <w:rPr>
        <w:b/>
        <w:caps w:val="0"/>
        <w:noProof/>
        <w:sz w:val="22"/>
        <w:szCs w:val="22"/>
      </w:rPr>
      <w:t>253</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pPr>
      <w:pStyle w:val="Encabezado"/>
      <w:rPr>
        <w:caps w:val="0"/>
      </w:rPr>
    </w:pPr>
    <w:r>
      <w:rPr>
        <w:caps w:val="0"/>
        <w:noProof/>
        <w:sz w:val="22"/>
        <w:szCs w:val="22"/>
        <w:lang w:val="es-ES" w:eastAsia="es-E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180340</wp:posOffset>
              </wp:positionV>
              <wp:extent cx="5905500" cy="0"/>
              <wp:effectExtent l="12700" t="15240" r="25400" b="2286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" strokeweight=".5pt"/>
          </w:pict>
        </mc:Fallback>
      </mc:AlternateContent>
    </w:r>
    <w:r w:rsidR="00BB0F05" w:rsidRPr="003B6345">
      <w:rPr>
        <w:b/>
        <w:caps w:val="0"/>
        <w:sz w:val="22"/>
        <w:szCs w:val="22"/>
        <w:lang w:val="en-US"/>
      </w:rPr>
      <w:fldChar w:fldCharType="begin"/>
    </w:r>
    <w:r w:rsidR="00BB0F05" w:rsidRPr="003B6345">
      <w:rPr>
        <w:b/>
        <w:caps w:val="0"/>
        <w:sz w:val="22"/>
        <w:szCs w:val="22"/>
        <w:lang w:val="en-US"/>
      </w:rPr>
      <w:instrText xml:space="preserve"> PAGE </w:instrText>
    </w:r>
    <w:r w:rsidR="00BB0F05" w:rsidRPr="003B6345">
      <w:rPr>
        <w:b/>
        <w:caps w:val="0"/>
        <w:sz w:val="22"/>
        <w:szCs w:val="22"/>
        <w:lang w:val="en-US"/>
      </w:rPr>
      <w:fldChar w:fldCharType="separate"/>
    </w:r>
    <w:r>
      <w:rPr>
        <w:b/>
        <w:caps w:val="0"/>
        <w:noProof/>
        <w:sz w:val="22"/>
        <w:szCs w:val="22"/>
        <w:lang w:val="en-US"/>
      </w:rPr>
      <w:t>12</w:t>
    </w:r>
    <w:r w:rsidR="00BB0F05" w:rsidRPr="003B6345">
      <w:rPr>
        <w:b/>
        <w:caps w:val="0"/>
        <w:sz w:val="22"/>
        <w:szCs w:val="22"/>
        <w:lang w:val="en-US"/>
      </w:rPr>
      <w:fldChar w:fldCharType="end"/>
    </w:r>
    <w:r w:rsidR="00BB0F05" w:rsidRPr="00CB3FB5">
      <w:rPr>
        <w:caps w:val="0"/>
        <w:lang w:val="en-US"/>
      </w:rPr>
      <w:t xml:space="preserve"> </w:t>
    </w:r>
    <w:r w:rsidR="00BB0F05">
      <w:rPr>
        <w:caps w:val="0"/>
        <w:lang w:val="en-US"/>
      </w:rPr>
      <w:t xml:space="preserve">– </w:t>
    </w:r>
    <w:r w:rsidR="00BB0F05">
      <w:rPr>
        <w:caps w:val="0"/>
      </w:rPr>
      <w:t>TABLE OF CONTENTS</w:t>
    </w:r>
  </w:p>
  <w:p w:rsidR="00BB0F05" w:rsidRDefault="00BB0F05">
    <w:pPr>
      <w:pStyle w:val="Encabezado"/>
      <w:rPr>
        <w:caps w:val="0"/>
      </w:rPr>
    </w:pPr>
  </w:p>
  <w:p w:rsidR="00BB0F05" w:rsidRDefault="00BB0F05">
    <w:pPr>
      <w:pStyle w:val="Encabezado"/>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" strokeweight=".5pt"/>
          </w:pict>
        </mc:Fallback>
      </mc:AlternateContent>
    </w:r>
    <w:r w:rsidR="00BB0F05">
      <w:rPr>
        <w:caps w:val="0"/>
      </w:rPr>
      <w:t>TABLE OF CONTENTS</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11</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Pr="00886A82" w:rsidRDefault="00BB0F05" w:rsidP="00886A82">
    <w:pPr>
      <w:pStyle w:val="Encabezado"/>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05" w:rsidRDefault="00315185" w:rsidP="00BC4FD1">
    <w:pPr>
      <w:pStyle w:val="Encabezado"/>
      <w:jc w:val="right"/>
    </w:pPr>
    <w:r>
      <w:rPr>
        <w:caps w:val="0"/>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180340</wp:posOffset>
              </wp:positionV>
              <wp:extent cx="5904230" cy="0"/>
              <wp:effectExtent l="12700" t="15240" r="26670" b="2286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4.9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7TARM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" strokeweight=".5pt"/>
          </w:pict>
        </mc:Fallback>
      </mc:AlternateContent>
    </w:r>
    <w:r w:rsidR="00BB0F05">
      <w:rPr>
        <w:caps w:val="0"/>
      </w:rPr>
      <w:t>ACRONYMS AND CONVENTIONAL SIGNS</w:t>
    </w:r>
    <w:r w:rsidR="00BB0F05" w:rsidRPr="00BA07BE">
      <w:rPr>
        <w:caps w:val="0"/>
      </w:rPr>
      <w:t xml:space="preserve"> </w:t>
    </w:r>
    <w:r w:rsidR="00BB0F05">
      <w:rPr>
        <w:caps w:val="0"/>
      </w:rPr>
      <w:t>–</w:t>
    </w:r>
    <w:r w:rsidR="00BB0F05" w:rsidRPr="00CB3FB5">
      <w:rPr>
        <w:caps w:val="0"/>
      </w:rPr>
      <w:t xml:space="preserve"> </w:t>
    </w:r>
    <w:r w:rsidR="00BB0F05" w:rsidRPr="003B6345">
      <w:rPr>
        <w:b/>
        <w:caps w:val="0"/>
        <w:sz w:val="22"/>
        <w:szCs w:val="22"/>
      </w:rPr>
      <w:fldChar w:fldCharType="begin"/>
    </w:r>
    <w:r w:rsidR="00BB0F05" w:rsidRPr="003B6345">
      <w:rPr>
        <w:b/>
        <w:caps w:val="0"/>
        <w:sz w:val="22"/>
        <w:szCs w:val="22"/>
      </w:rPr>
      <w:instrText xml:space="preserve"> PAGE </w:instrText>
    </w:r>
    <w:r w:rsidR="00BB0F05" w:rsidRPr="003B6345">
      <w:rPr>
        <w:b/>
        <w:caps w:val="0"/>
        <w:sz w:val="22"/>
        <w:szCs w:val="22"/>
      </w:rPr>
      <w:fldChar w:fldCharType="separate"/>
    </w:r>
    <w:r>
      <w:rPr>
        <w:b/>
        <w:caps w:val="0"/>
        <w:noProof/>
        <w:sz w:val="22"/>
        <w:szCs w:val="22"/>
      </w:rPr>
      <w:t>13</w:t>
    </w:r>
    <w:r w:rsidR="00BB0F05" w:rsidRPr="003B6345">
      <w:rPr>
        <w:b/>
        <w:caps w:val="0"/>
        <w:sz w:val="22"/>
        <w:szCs w:val="22"/>
      </w:rPr>
      <w:fldChar w:fldCharType="end"/>
    </w:r>
  </w:p>
  <w:p w:rsidR="00BB0F05" w:rsidRDefault="00BB0F05" w:rsidP="00BC4FD1">
    <w:pPr>
      <w:pStyle w:val="Encabezado"/>
    </w:pPr>
  </w:p>
  <w:p w:rsidR="00BB0F05" w:rsidRPr="00D1302A" w:rsidRDefault="00BB0F05" w:rsidP="00BC4FD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0F62"/>
    <w:multiLevelType w:val="singleLevel"/>
    <w:tmpl w:val="3502E25E"/>
    <w:lvl w:ilvl="0">
      <w:start w:val="1"/>
      <w:numFmt w:val="bullet"/>
      <w:pStyle w:val="Listaconvietas"/>
      <w:lvlText w:val="·"/>
      <w:lvlJc w:val="left"/>
      <w:pPr>
        <w:tabs>
          <w:tab w:val="num" w:pos="850"/>
        </w:tabs>
        <w:ind w:left="850" w:hanging="408"/>
      </w:pPr>
      <w:rPr>
        <w:rFonts w:ascii="Symbol" w:hAnsi="Symbol" w:cs="Times New Roman" w:hint="default"/>
        <w:b w:val="0"/>
        <w:i w:val="0"/>
        <w:sz w:val="22"/>
      </w:rPr>
    </w:lvl>
  </w:abstractNum>
  <w:abstractNum w:abstractNumId="1">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2">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3">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4">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5">
    <w:nsid w:val="157968A9"/>
    <w:multiLevelType w:val="singleLevel"/>
    <w:tmpl w:val="D5A6E36A"/>
    <w:name w:val="NumericNote"/>
    <w:lvl w:ilvl="0">
      <w:start w:val="1"/>
      <w:numFmt w:val="decimal"/>
      <w:lvlText w:val="%1."/>
      <w:lvlJc w:val="left"/>
      <w:pPr>
        <w:tabs>
          <w:tab w:val="num" w:pos="850"/>
        </w:tabs>
        <w:ind w:left="850" w:hanging="408"/>
      </w:pPr>
    </w:lvl>
  </w:abstractNum>
  <w:abstractNum w:abstractNumId="6">
    <w:nsid w:val="17246A13"/>
    <w:multiLevelType w:val="hybridMultilevel"/>
    <w:tmpl w:val="6A92F78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nsid w:val="1D0576CA"/>
    <w:multiLevelType w:val="hybridMultilevel"/>
    <w:tmpl w:val="EE6AE202"/>
    <w:lvl w:ilvl="0" w:tplc="08090001">
      <w:start w:val="1"/>
      <w:numFmt w:val="bullet"/>
      <w:lvlText w:val=""/>
      <w:lvlJc w:val="left"/>
      <w:pPr>
        <w:ind w:left="1086" w:hanging="360"/>
      </w:pPr>
      <w:rPr>
        <w:rFonts w:ascii="Symbol" w:hAnsi="Symbol" w:hint="default"/>
      </w:rPr>
    </w:lvl>
    <w:lvl w:ilvl="1" w:tplc="04070003" w:tentative="1">
      <w:start w:val="1"/>
      <w:numFmt w:val="bullet"/>
      <w:lvlText w:val="o"/>
      <w:lvlJc w:val="left"/>
      <w:pPr>
        <w:ind w:left="1806" w:hanging="360"/>
      </w:pPr>
      <w:rPr>
        <w:rFonts w:ascii="Courier New" w:hAnsi="Courier New" w:cs="Courier New" w:hint="default"/>
      </w:rPr>
    </w:lvl>
    <w:lvl w:ilvl="2" w:tplc="04070005" w:tentative="1">
      <w:start w:val="1"/>
      <w:numFmt w:val="bullet"/>
      <w:lvlText w:val=""/>
      <w:lvlJc w:val="left"/>
      <w:pPr>
        <w:ind w:left="2526" w:hanging="360"/>
      </w:pPr>
      <w:rPr>
        <w:rFonts w:ascii="Wingdings" w:hAnsi="Wingdings" w:hint="default"/>
      </w:rPr>
    </w:lvl>
    <w:lvl w:ilvl="3" w:tplc="04070001" w:tentative="1">
      <w:start w:val="1"/>
      <w:numFmt w:val="bullet"/>
      <w:lvlText w:val=""/>
      <w:lvlJc w:val="left"/>
      <w:pPr>
        <w:ind w:left="3246" w:hanging="360"/>
      </w:pPr>
      <w:rPr>
        <w:rFonts w:ascii="Symbol" w:hAnsi="Symbol" w:hint="default"/>
      </w:rPr>
    </w:lvl>
    <w:lvl w:ilvl="4" w:tplc="04070003" w:tentative="1">
      <w:start w:val="1"/>
      <w:numFmt w:val="bullet"/>
      <w:lvlText w:val="o"/>
      <w:lvlJc w:val="left"/>
      <w:pPr>
        <w:ind w:left="3966" w:hanging="360"/>
      </w:pPr>
      <w:rPr>
        <w:rFonts w:ascii="Courier New" w:hAnsi="Courier New" w:cs="Courier New" w:hint="default"/>
      </w:rPr>
    </w:lvl>
    <w:lvl w:ilvl="5" w:tplc="04070005" w:tentative="1">
      <w:start w:val="1"/>
      <w:numFmt w:val="bullet"/>
      <w:lvlText w:val=""/>
      <w:lvlJc w:val="left"/>
      <w:pPr>
        <w:ind w:left="4686" w:hanging="360"/>
      </w:pPr>
      <w:rPr>
        <w:rFonts w:ascii="Wingdings" w:hAnsi="Wingdings" w:hint="default"/>
      </w:rPr>
    </w:lvl>
    <w:lvl w:ilvl="6" w:tplc="04070001" w:tentative="1">
      <w:start w:val="1"/>
      <w:numFmt w:val="bullet"/>
      <w:lvlText w:val=""/>
      <w:lvlJc w:val="left"/>
      <w:pPr>
        <w:ind w:left="5406" w:hanging="360"/>
      </w:pPr>
      <w:rPr>
        <w:rFonts w:ascii="Symbol" w:hAnsi="Symbol" w:hint="default"/>
      </w:rPr>
    </w:lvl>
    <w:lvl w:ilvl="7" w:tplc="04070003" w:tentative="1">
      <w:start w:val="1"/>
      <w:numFmt w:val="bullet"/>
      <w:lvlText w:val="o"/>
      <w:lvlJc w:val="left"/>
      <w:pPr>
        <w:ind w:left="6126" w:hanging="360"/>
      </w:pPr>
      <w:rPr>
        <w:rFonts w:ascii="Courier New" w:hAnsi="Courier New" w:cs="Courier New" w:hint="default"/>
      </w:rPr>
    </w:lvl>
    <w:lvl w:ilvl="8" w:tplc="04070005" w:tentative="1">
      <w:start w:val="1"/>
      <w:numFmt w:val="bullet"/>
      <w:lvlText w:val=""/>
      <w:lvlJc w:val="left"/>
      <w:pPr>
        <w:ind w:left="6846" w:hanging="360"/>
      </w:pPr>
      <w:rPr>
        <w:rFonts w:ascii="Wingdings" w:hAnsi="Wingdings" w:hint="default"/>
      </w:rPr>
    </w:lvl>
  </w:abstractNum>
  <w:abstractNum w:abstractNumId="8">
    <w:nsid w:val="27397F89"/>
    <w:multiLevelType w:val="singleLevel"/>
    <w:tmpl w:val="60A0508A"/>
    <w:name w:val="AlphaNote"/>
    <w:lvl w:ilvl="0">
      <w:start w:val="1"/>
      <w:numFmt w:val="lowerLetter"/>
      <w:lvlText w:val="%1."/>
      <w:lvlJc w:val="left"/>
      <w:pPr>
        <w:tabs>
          <w:tab w:val="num" w:pos="850"/>
        </w:tabs>
        <w:ind w:left="850" w:hanging="408"/>
      </w:pPr>
    </w:lvl>
  </w:abstractNum>
  <w:abstractNum w:abstractNumId="9">
    <w:nsid w:val="2ACF6F84"/>
    <w:multiLevelType w:val="singleLevel"/>
    <w:tmpl w:val="9B06DFB8"/>
    <w:lvl w:ilvl="0">
      <w:start w:val="1"/>
      <w:numFmt w:val="bullet"/>
      <w:pStyle w:val="Listaconvietas2"/>
      <w:lvlText w:val="-"/>
      <w:lvlJc w:val="left"/>
      <w:pPr>
        <w:tabs>
          <w:tab w:val="num" w:pos="1190"/>
        </w:tabs>
        <w:ind w:left="1190" w:hanging="340"/>
      </w:pPr>
      <w:rPr>
        <w:rFonts w:ascii="Symbol" w:hAnsi="Symbol" w:cs="Times New Roman" w:hint="default"/>
        <w:b w:val="0"/>
        <w:i w:val="0"/>
        <w:sz w:val="22"/>
      </w:rPr>
    </w:lvl>
  </w:abstractNum>
  <w:abstractNum w:abstractNumId="1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11">
    <w:nsid w:val="3BC230DE"/>
    <w:multiLevelType w:val="multilevel"/>
    <w:tmpl w:val="5906C4D4"/>
    <w:lvl w:ilvl="0">
      <w:start w:val="1"/>
      <w:numFmt w:val="decimal"/>
      <w:pStyle w:val="Listaconnmeros"/>
      <w:lvlText w:val="%1."/>
      <w:lvlJc w:val="left"/>
      <w:pPr>
        <w:tabs>
          <w:tab w:val="num" w:pos="850"/>
        </w:tabs>
        <w:ind w:left="850" w:hanging="408"/>
      </w:pPr>
    </w:lvl>
    <w:lvl w:ilvl="1">
      <w:start w:val="1"/>
      <w:numFmt w:val="decimal"/>
      <w:pStyle w:val="Listaconnmeros2"/>
      <w:lvlText w:val="%2."/>
      <w:lvlJc w:val="left"/>
      <w:pPr>
        <w:tabs>
          <w:tab w:val="num" w:pos="1191"/>
        </w:tabs>
        <w:ind w:left="1191" w:hanging="341"/>
      </w:pPr>
    </w:lvl>
    <w:lvl w:ilvl="2">
      <w:start w:val="1"/>
      <w:numFmt w:val="decimal"/>
      <w:pStyle w:val="Listaconnmeros3"/>
      <w:lvlText w:val="%3."/>
      <w:lvlJc w:val="left"/>
      <w:pPr>
        <w:tabs>
          <w:tab w:val="num" w:pos="1474"/>
        </w:tabs>
        <w:ind w:left="1474" w:hanging="340"/>
      </w:pPr>
    </w:lvl>
    <w:lvl w:ilvl="3">
      <w:start w:val="1"/>
      <w:numFmt w:val="decimal"/>
      <w:pStyle w:val="Listaconnmeros4"/>
      <w:lvlText w:val="%4."/>
      <w:lvlJc w:val="left"/>
      <w:pPr>
        <w:tabs>
          <w:tab w:val="num" w:pos="1757"/>
        </w:tabs>
        <w:ind w:left="1757" w:hanging="340"/>
      </w:pPr>
    </w:lvl>
    <w:lvl w:ilvl="4">
      <w:start w:val="1"/>
      <w:numFmt w:val="decimal"/>
      <w:pStyle w:val="Listaconnmeros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13">
    <w:nsid w:val="48EC55A8"/>
    <w:multiLevelType w:val="singleLevel"/>
    <w:tmpl w:val="D89A407A"/>
    <w:lvl w:ilvl="0">
      <w:start w:val="1"/>
      <w:numFmt w:val="bullet"/>
      <w:pStyle w:val="Listaconvietas3"/>
      <w:lvlText w:val="-"/>
      <w:lvlJc w:val="left"/>
      <w:pPr>
        <w:tabs>
          <w:tab w:val="num" w:pos="1474"/>
        </w:tabs>
        <w:ind w:left="1474" w:hanging="340"/>
      </w:pPr>
      <w:rPr>
        <w:rFonts w:ascii="Symbol" w:hAnsi="Symbol" w:cs="Times New Roman" w:hint="default"/>
        <w:b w:val="0"/>
        <w:i w:val="0"/>
        <w:sz w:val="22"/>
      </w:rPr>
    </w:lvl>
  </w:abstractNum>
  <w:abstractNum w:abstractNumId="14">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15">
    <w:nsid w:val="56BE6F79"/>
    <w:multiLevelType w:val="singleLevel"/>
    <w:tmpl w:val="F266E224"/>
    <w:lvl w:ilvl="0">
      <w:start w:val="1"/>
      <w:numFmt w:val="bullet"/>
      <w:pStyle w:val="Listaconvietas4"/>
      <w:lvlText w:val="-"/>
      <w:lvlJc w:val="left"/>
      <w:pPr>
        <w:tabs>
          <w:tab w:val="num" w:pos="1757"/>
        </w:tabs>
        <w:ind w:left="1757" w:hanging="340"/>
      </w:pPr>
      <w:rPr>
        <w:rFonts w:ascii="Symbol" w:hAnsi="Symbol" w:cs="Times New Roman" w:hint="default"/>
        <w:b w:val="0"/>
        <w:i w:val="0"/>
        <w:sz w:val="22"/>
      </w:rPr>
    </w:lvl>
  </w:abstractNum>
  <w:abstractNum w:abstractNumId="16">
    <w:nsid w:val="5C8E0CA3"/>
    <w:multiLevelType w:val="singleLevel"/>
    <w:tmpl w:val="EB76A894"/>
    <w:lvl w:ilvl="0">
      <w:start w:val="1"/>
      <w:numFmt w:val="bullet"/>
      <w:pStyle w:val="Listaconvietas5"/>
      <w:lvlText w:val="-"/>
      <w:lvlJc w:val="left"/>
      <w:pPr>
        <w:tabs>
          <w:tab w:val="num" w:pos="2041"/>
        </w:tabs>
        <w:ind w:left="2041" w:hanging="340"/>
      </w:pPr>
      <w:rPr>
        <w:rFonts w:ascii="Symbol" w:hAnsi="Symbol" w:cs="Times New Roman" w:hint="default"/>
        <w:b w:val="0"/>
        <w:i w:val="0"/>
        <w:sz w:val="22"/>
      </w:rPr>
    </w:lvl>
  </w:abstractNum>
  <w:abstractNum w:abstractNumId="17">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18">
    <w:nsid w:val="79784D72"/>
    <w:multiLevelType w:val="hybridMultilevel"/>
    <w:tmpl w:val="CF08E47A"/>
    <w:lvl w:ilvl="0" w:tplc="74E4B3BE">
      <w:start w:val="1"/>
      <w:numFmt w:val="lowerLetter"/>
      <w:lvlText w:val="%1)"/>
      <w:lvlJc w:val="left"/>
      <w:pPr>
        <w:ind w:left="720" w:hanging="360"/>
      </w:pPr>
      <w:rPr>
        <w:rFonts w:ascii="Times New Roman" w:hAnsi="Times New Roman" w:hint="default"/>
        <w:b w:val="0"/>
        <w:i/>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9"/>
  </w:num>
  <w:num w:numId="3">
    <w:abstractNumId w:val="13"/>
  </w:num>
  <w:num w:numId="4">
    <w:abstractNumId w:val="15"/>
  </w:num>
  <w:num w:numId="5">
    <w:abstractNumId w:val="16"/>
  </w:num>
  <w:num w:numId="6">
    <w:abstractNumId w:val="11"/>
  </w:num>
  <w:num w:numId="7">
    <w:abstractNumId w:val="17"/>
  </w:num>
  <w:num w:numId="8">
    <w:abstractNumId w:val="14"/>
  </w:num>
  <w:num w:numId="9">
    <w:abstractNumId w:val="1"/>
  </w:num>
  <w:num w:numId="10">
    <w:abstractNumId w:val="10"/>
  </w:num>
  <w:num w:numId="11">
    <w:abstractNumId w:val="4"/>
  </w:num>
  <w:num w:numId="12">
    <w:abstractNumId w:val="2"/>
  </w:num>
  <w:num w:numId="13">
    <w:abstractNumId w:val="3"/>
  </w:num>
  <w:num w:numId="14">
    <w:abstractNumId w:val="12"/>
  </w:num>
  <w:num w:numId="15">
    <w:abstractNumId w:val="18"/>
  </w:num>
  <w:num w:numId="16">
    <w:abstractNumId w:val="7"/>
  </w:num>
  <w:num w:numId="17">
    <w:abstractNumId w:val="17"/>
  </w:num>
  <w:num w:numId="18">
    <w:abstractNumId w:val="17"/>
  </w:num>
  <w:num w:numId="19">
    <w:abstractNumId w:val="17"/>
  </w:num>
  <w:num w:numId="20">
    <w:abstractNumId w:val="6"/>
  </w:num>
  <w:num w:numId="21">
    <w:abstractNumId w:val="17"/>
  </w:num>
  <w:num w:numId="22">
    <w:abstractNumId w:val="17"/>
  </w:num>
  <w:num w:numId="23">
    <w:abstractNumId w:val="17"/>
  </w:num>
  <w:num w:numId="24">
    <w:abstractNumId w:val="17"/>
  </w:num>
  <w:num w:numId="25">
    <w:abstractNumId w:val="17"/>
  </w:num>
  <w:num w:numId="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101"/>
  </w:hdrShapeDefaults>
  <w:footnotePr>
    <w:numFmt w:val="chicago"/>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794"/>
    <w:rsid w:val="00006B1A"/>
    <w:rsid w:val="00014F26"/>
    <w:rsid w:val="00015C0B"/>
    <w:rsid w:val="00016BD4"/>
    <w:rsid w:val="000171A7"/>
    <w:rsid w:val="00021CA8"/>
    <w:rsid w:val="000240DE"/>
    <w:rsid w:val="00025C4B"/>
    <w:rsid w:val="00030A57"/>
    <w:rsid w:val="00031FBA"/>
    <w:rsid w:val="000328CF"/>
    <w:rsid w:val="0004419A"/>
    <w:rsid w:val="00046850"/>
    <w:rsid w:val="00051F69"/>
    <w:rsid w:val="00055C8D"/>
    <w:rsid w:val="0005709E"/>
    <w:rsid w:val="00057798"/>
    <w:rsid w:val="00082EC3"/>
    <w:rsid w:val="00083BD4"/>
    <w:rsid w:val="000879B4"/>
    <w:rsid w:val="00087DD1"/>
    <w:rsid w:val="000A0F2B"/>
    <w:rsid w:val="000B3FA8"/>
    <w:rsid w:val="000C0467"/>
    <w:rsid w:val="000C238B"/>
    <w:rsid w:val="000C5F41"/>
    <w:rsid w:val="000C6DFD"/>
    <w:rsid w:val="000D14B3"/>
    <w:rsid w:val="000D54A2"/>
    <w:rsid w:val="000D5794"/>
    <w:rsid w:val="000E2A3D"/>
    <w:rsid w:val="000E3F0E"/>
    <w:rsid w:val="000F3AA4"/>
    <w:rsid w:val="00100A78"/>
    <w:rsid w:val="00100EE8"/>
    <w:rsid w:val="00101310"/>
    <w:rsid w:val="0010326E"/>
    <w:rsid w:val="00111F7F"/>
    <w:rsid w:val="00113588"/>
    <w:rsid w:val="00117011"/>
    <w:rsid w:val="001221D5"/>
    <w:rsid w:val="00124F2C"/>
    <w:rsid w:val="0012537C"/>
    <w:rsid w:val="001260CA"/>
    <w:rsid w:val="00135C58"/>
    <w:rsid w:val="00137F84"/>
    <w:rsid w:val="00143E10"/>
    <w:rsid w:val="001512CF"/>
    <w:rsid w:val="00152644"/>
    <w:rsid w:val="00153CBA"/>
    <w:rsid w:val="00156A11"/>
    <w:rsid w:val="001575D8"/>
    <w:rsid w:val="00160D18"/>
    <w:rsid w:val="00164979"/>
    <w:rsid w:val="0016537E"/>
    <w:rsid w:val="00165E5F"/>
    <w:rsid w:val="00167AE8"/>
    <w:rsid w:val="001713DD"/>
    <w:rsid w:val="001728DA"/>
    <w:rsid w:val="001766F9"/>
    <w:rsid w:val="001806F2"/>
    <w:rsid w:val="00184237"/>
    <w:rsid w:val="001903C7"/>
    <w:rsid w:val="001943FC"/>
    <w:rsid w:val="001962ED"/>
    <w:rsid w:val="001A26BD"/>
    <w:rsid w:val="001A69E5"/>
    <w:rsid w:val="001B1511"/>
    <w:rsid w:val="001C1E5A"/>
    <w:rsid w:val="001D4C99"/>
    <w:rsid w:val="001D7B81"/>
    <w:rsid w:val="001E2968"/>
    <w:rsid w:val="001F110C"/>
    <w:rsid w:val="001F43D3"/>
    <w:rsid w:val="001F53F5"/>
    <w:rsid w:val="001F5685"/>
    <w:rsid w:val="00203D78"/>
    <w:rsid w:val="002110BD"/>
    <w:rsid w:val="00223DD0"/>
    <w:rsid w:val="002266CF"/>
    <w:rsid w:val="0023508D"/>
    <w:rsid w:val="00235C4A"/>
    <w:rsid w:val="00245B15"/>
    <w:rsid w:val="00262CC1"/>
    <w:rsid w:val="0026488D"/>
    <w:rsid w:val="00281307"/>
    <w:rsid w:val="0028597A"/>
    <w:rsid w:val="00294125"/>
    <w:rsid w:val="002951F5"/>
    <w:rsid w:val="002979C5"/>
    <w:rsid w:val="002A244C"/>
    <w:rsid w:val="002C056C"/>
    <w:rsid w:val="002C4061"/>
    <w:rsid w:val="002C6600"/>
    <w:rsid w:val="002E28A1"/>
    <w:rsid w:val="002F4F69"/>
    <w:rsid w:val="002F7A4F"/>
    <w:rsid w:val="00301C8B"/>
    <w:rsid w:val="00302159"/>
    <w:rsid w:val="00303368"/>
    <w:rsid w:val="00306221"/>
    <w:rsid w:val="00306F1E"/>
    <w:rsid w:val="0030793F"/>
    <w:rsid w:val="00311B1F"/>
    <w:rsid w:val="00315185"/>
    <w:rsid w:val="00321150"/>
    <w:rsid w:val="00324661"/>
    <w:rsid w:val="003320AF"/>
    <w:rsid w:val="003348D7"/>
    <w:rsid w:val="00336DA3"/>
    <w:rsid w:val="00337F59"/>
    <w:rsid w:val="00346557"/>
    <w:rsid w:val="00347328"/>
    <w:rsid w:val="003522FA"/>
    <w:rsid w:val="00371D83"/>
    <w:rsid w:val="00383FC8"/>
    <w:rsid w:val="0038619C"/>
    <w:rsid w:val="0038737D"/>
    <w:rsid w:val="00397E2B"/>
    <w:rsid w:val="003A091C"/>
    <w:rsid w:val="003A7046"/>
    <w:rsid w:val="003B02B4"/>
    <w:rsid w:val="003B3C8E"/>
    <w:rsid w:val="003B7D7C"/>
    <w:rsid w:val="003C68EE"/>
    <w:rsid w:val="003D185F"/>
    <w:rsid w:val="003D2D65"/>
    <w:rsid w:val="003D3D5E"/>
    <w:rsid w:val="003D537D"/>
    <w:rsid w:val="003E43EA"/>
    <w:rsid w:val="003E5901"/>
    <w:rsid w:val="003F0C43"/>
    <w:rsid w:val="003F476A"/>
    <w:rsid w:val="00406BA9"/>
    <w:rsid w:val="00406EE0"/>
    <w:rsid w:val="00410805"/>
    <w:rsid w:val="00410FC2"/>
    <w:rsid w:val="0041493B"/>
    <w:rsid w:val="004166D6"/>
    <w:rsid w:val="00425C85"/>
    <w:rsid w:val="00431452"/>
    <w:rsid w:val="00436748"/>
    <w:rsid w:val="004423C5"/>
    <w:rsid w:val="00445AF9"/>
    <w:rsid w:val="004472F6"/>
    <w:rsid w:val="00454289"/>
    <w:rsid w:val="00455152"/>
    <w:rsid w:val="00456D26"/>
    <w:rsid w:val="00473421"/>
    <w:rsid w:val="00473E91"/>
    <w:rsid w:val="004870B8"/>
    <w:rsid w:val="004922D6"/>
    <w:rsid w:val="00495D84"/>
    <w:rsid w:val="004A040C"/>
    <w:rsid w:val="004A3A7E"/>
    <w:rsid w:val="004A6007"/>
    <w:rsid w:val="004A7E10"/>
    <w:rsid w:val="004B2E78"/>
    <w:rsid w:val="004B59B2"/>
    <w:rsid w:val="004B67AC"/>
    <w:rsid w:val="004C6305"/>
    <w:rsid w:val="004C6AC3"/>
    <w:rsid w:val="004C701D"/>
    <w:rsid w:val="004D38AD"/>
    <w:rsid w:val="004D3DF7"/>
    <w:rsid w:val="004D6112"/>
    <w:rsid w:val="004D6C12"/>
    <w:rsid w:val="004E0D56"/>
    <w:rsid w:val="004E1138"/>
    <w:rsid w:val="004E4B7D"/>
    <w:rsid w:val="004E686D"/>
    <w:rsid w:val="004F6831"/>
    <w:rsid w:val="004F6C04"/>
    <w:rsid w:val="005114A4"/>
    <w:rsid w:val="005128E0"/>
    <w:rsid w:val="005162D9"/>
    <w:rsid w:val="00522B7F"/>
    <w:rsid w:val="005250FF"/>
    <w:rsid w:val="00534ED8"/>
    <w:rsid w:val="00536E12"/>
    <w:rsid w:val="005440E6"/>
    <w:rsid w:val="005443E3"/>
    <w:rsid w:val="00552349"/>
    <w:rsid w:val="00555C11"/>
    <w:rsid w:val="00565083"/>
    <w:rsid w:val="00565545"/>
    <w:rsid w:val="00583CD0"/>
    <w:rsid w:val="00584D6C"/>
    <w:rsid w:val="00593DFE"/>
    <w:rsid w:val="005952B1"/>
    <w:rsid w:val="00595DFB"/>
    <w:rsid w:val="00597701"/>
    <w:rsid w:val="005B3329"/>
    <w:rsid w:val="005B5AC3"/>
    <w:rsid w:val="005D1562"/>
    <w:rsid w:val="005D1D07"/>
    <w:rsid w:val="005D3D8F"/>
    <w:rsid w:val="005D5C8E"/>
    <w:rsid w:val="005D77C1"/>
    <w:rsid w:val="005E2B11"/>
    <w:rsid w:val="005E56D5"/>
    <w:rsid w:val="005E5F7A"/>
    <w:rsid w:val="005F2192"/>
    <w:rsid w:val="005F3171"/>
    <w:rsid w:val="005F5633"/>
    <w:rsid w:val="006008D4"/>
    <w:rsid w:val="0060265F"/>
    <w:rsid w:val="006039D0"/>
    <w:rsid w:val="00607511"/>
    <w:rsid w:val="006119CC"/>
    <w:rsid w:val="00613F42"/>
    <w:rsid w:val="0061660C"/>
    <w:rsid w:val="006211FF"/>
    <w:rsid w:val="00626F09"/>
    <w:rsid w:val="00631951"/>
    <w:rsid w:val="0064204A"/>
    <w:rsid w:val="0064373F"/>
    <w:rsid w:val="0064636C"/>
    <w:rsid w:val="00657038"/>
    <w:rsid w:val="006614E0"/>
    <w:rsid w:val="00663D41"/>
    <w:rsid w:val="0068118C"/>
    <w:rsid w:val="00681DB0"/>
    <w:rsid w:val="0068759C"/>
    <w:rsid w:val="006930A5"/>
    <w:rsid w:val="00694F93"/>
    <w:rsid w:val="006A0603"/>
    <w:rsid w:val="006C6090"/>
    <w:rsid w:val="006D71A8"/>
    <w:rsid w:val="006E5027"/>
    <w:rsid w:val="006F054E"/>
    <w:rsid w:val="006F08EF"/>
    <w:rsid w:val="006F7AED"/>
    <w:rsid w:val="0070065E"/>
    <w:rsid w:val="00711680"/>
    <w:rsid w:val="00711E1A"/>
    <w:rsid w:val="007124AD"/>
    <w:rsid w:val="007249DC"/>
    <w:rsid w:val="00725133"/>
    <w:rsid w:val="00734DA9"/>
    <w:rsid w:val="00743DDB"/>
    <w:rsid w:val="0074598B"/>
    <w:rsid w:val="0075163D"/>
    <w:rsid w:val="007608F7"/>
    <w:rsid w:val="00762AA9"/>
    <w:rsid w:val="00764BA7"/>
    <w:rsid w:val="0076509D"/>
    <w:rsid w:val="00765195"/>
    <w:rsid w:val="007707BD"/>
    <w:rsid w:val="0077386C"/>
    <w:rsid w:val="00780389"/>
    <w:rsid w:val="007804DF"/>
    <w:rsid w:val="00781890"/>
    <w:rsid w:val="007821EE"/>
    <w:rsid w:val="00784568"/>
    <w:rsid w:val="00785B54"/>
    <w:rsid w:val="0079785B"/>
    <w:rsid w:val="007A7847"/>
    <w:rsid w:val="007B07C5"/>
    <w:rsid w:val="007B6812"/>
    <w:rsid w:val="007C34C9"/>
    <w:rsid w:val="007C5A65"/>
    <w:rsid w:val="007C69C6"/>
    <w:rsid w:val="007C69E9"/>
    <w:rsid w:val="007E427C"/>
    <w:rsid w:val="007E66FE"/>
    <w:rsid w:val="007F1DB2"/>
    <w:rsid w:val="007F59A9"/>
    <w:rsid w:val="0080041E"/>
    <w:rsid w:val="00803537"/>
    <w:rsid w:val="008065BC"/>
    <w:rsid w:val="008125BC"/>
    <w:rsid w:val="00832F05"/>
    <w:rsid w:val="008337AE"/>
    <w:rsid w:val="0083402B"/>
    <w:rsid w:val="008363F8"/>
    <w:rsid w:val="00850D1F"/>
    <w:rsid w:val="0085576F"/>
    <w:rsid w:val="00856B3D"/>
    <w:rsid w:val="008608F7"/>
    <w:rsid w:val="00865C43"/>
    <w:rsid w:val="00883FFA"/>
    <w:rsid w:val="00886A82"/>
    <w:rsid w:val="00886ABA"/>
    <w:rsid w:val="008969D5"/>
    <w:rsid w:val="00896C56"/>
    <w:rsid w:val="008A0F36"/>
    <w:rsid w:val="008B1D50"/>
    <w:rsid w:val="008B305A"/>
    <w:rsid w:val="008B4DF6"/>
    <w:rsid w:val="008C12EA"/>
    <w:rsid w:val="008D1053"/>
    <w:rsid w:val="008E0E80"/>
    <w:rsid w:val="008E4480"/>
    <w:rsid w:val="008E6454"/>
    <w:rsid w:val="008E7317"/>
    <w:rsid w:val="008F04EF"/>
    <w:rsid w:val="008F05AC"/>
    <w:rsid w:val="008F1969"/>
    <w:rsid w:val="009035DB"/>
    <w:rsid w:val="009036EA"/>
    <w:rsid w:val="00903B24"/>
    <w:rsid w:val="0090440B"/>
    <w:rsid w:val="009174DF"/>
    <w:rsid w:val="00921A00"/>
    <w:rsid w:val="00927566"/>
    <w:rsid w:val="009337C7"/>
    <w:rsid w:val="00944562"/>
    <w:rsid w:val="00944946"/>
    <w:rsid w:val="00951CEB"/>
    <w:rsid w:val="00971685"/>
    <w:rsid w:val="00972389"/>
    <w:rsid w:val="009824FA"/>
    <w:rsid w:val="0098288E"/>
    <w:rsid w:val="00991B79"/>
    <w:rsid w:val="00992A05"/>
    <w:rsid w:val="00993C1C"/>
    <w:rsid w:val="009B28CF"/>
    <w:rsid w:val="009B78C2"/>
    <w:rsid w:val="009C3563"/>
    <w:rsid w:val="009C55F5"/>
    <w:rsid w:val="009E08A4"/>
    <w:rsid w:val="009E0F78"/>
    <w:rsid w:val="009E364F"/>
    <w:rsid w:val="009E485D"/>
    <w:rsid w:val="009E6550"/>
    <w:rsid w:val="009E65B4"/>
    <w:rsid w:val="00A0296A"/>
    <w:rsid w:val="00A02C54"/>
    <w:rsid w:val="00A04A88"/>
    <w:rsid w:val="00A056F1"/>
    <w:rsid w:val="00A14940"/>
    <w:rsid w:val="00A14FAB"/>
    <w:rsid w:val="00A21E9B"/>
    <w:rsid w:val="00A23ECB"/>
    <w:rsid w:val="00A31459"/>
    <w:rsid w:val="00A333C6"/>
    <w:rsid w:val="00A40691"/>
    <w:rsid w:val="00A54F78"/>
    <w:rsid w:val="00A60A94"/>
    <w:rsid w:val="00A715AA"/>
    <w:rsid w:val="00A74C96"/>
    <w:rsid w:val="00A76890"/>
    <w:rsid w:val="00A76FA2"/>
    <w:rsid w:val="00A7788F"/>
    <w:rsid w:val="00A85434"/>
    <w:rsid w:val="00A9006E"/>
    <w:rsid w:val="00A91A79"/>
    <w:rsid w:val="00A9441A"/>
    <w:rsid w:val="00A95CF5"/>
    <w:rsid w:val="00A964D5"/>
    <w:rsid w:val="00AB4AB5"/>
    <w:rsid w:val="00AC02CE"/>
    <w:rsid w:val="00AC4F68"/>
    <w:rsid w:val="00AD0D96"/>
    <w:rsid w:val="00AD4775"/>
    <w:rsid w:val="00AD7FF3"/>
    <w:rsid w:val="00AE496B"/>
    <w:rsid w:val="00AE7369"/>
    <w:rsid w:val="00B005C9"/>
    <w:rsid w:val="00B074BB"/>
    <w:rsid w:val="00B12E69"/>
    <w:rsid w:val="00B20E72"/>
    <w:rsid w:val="00B2273B"/>
    <w:rsid w:val="00B24193"/>
    <w:rsid w:val="00B25827"/>
    <w:rsid w:val="00B34B44"/>
    <w:rsid w:val="00B3718A"/>
    <w:rsid w:val="00B42625"/>
    <w:rsid w:val="00B54C38"/>
    <w:rsid w:val="00B609AB"/>
    <w:rsid w:val="00B62943"/>
    <w:rsid w:val="00B726DB"/>
    <w:rsid w:val="00B83000"/>
    <w:rsid w:val="00B845A9"/>
    <w:rsid w:val="00B91EFB"/>
    <w:rsid w:val="00B92827"/>
    <w:rsid w:val="00B956C4"/>
    <w:rsid w:val="00B977D6"/>
    <w:rsid w:val="00B97846"/>
    <w:rsid w:val="00BA5E17"/>
    <w:rsid w:val="00BA77DC"/>
    <w:rsid w:val="00BB0F05"/>
    <w:rsid w:val="00BC34AD"/>
    <w:rsid w:val="00BC4FD1"/>
    <w:rsid w:val="00BC6C77"/>
    <w:rsid w:val="00BD0B56"/>
    <w:rsid w:val="00BD0C4D"/>
    <w:rsid w:val="00BE164F"/>
    <w:rsid w:val="00BE1C5E"/>
    <w:rsid w:val="00BE36FB"/>
    <w:rsid w:val="00BE687B"/>
    <w:rsid w:val="00BF0497"/>
    <w:rsid w:val="00BF5CDF"/>
    <w:rsid w:val="00C10526"/>
    <w:rsid w:val="00C3202C"/>
    <w:rsid w:val="00C36FC1"/>
    <w:rsid w:val="00C42159"/>
    <w:rsid w:val="00C42D16"/>
    <w:rsid w:val="00C563E3"/>
    <w:rsid w:val="00C87B5D"/>
    <w:rsid w:val="00C91D84"/>
    <w:rsid w:val="00CB1822"/>
    <w:rsid w:val="00CB6822"/>
    <w:rsid w:val="00CB73ED"/>
    <w:rsid w:val="00CC2E58"/>
    <w:rsid w:val="00CD64D3"/>
    <w:rsid w:val="00CE6241"/>
    <w:rsid w:val="00CE654B"/>
    <w:rsid w:val="00CF1D54"/>
    <w:rsid w:val="00D00253"/>
    <w:rsid w:val="00D007CB"/>
    <w:rsid w:val="00D058CD"/>
    <w:rsid w:val="00D068E5"/>
    <w:rsid w:val="00D20BC9"/>
    <w:rsid w:val="00D226A2"/>
    <w:rsid w:val="00D27210"/>
    <w:rsid w:val="00D426E2"/>
    <w:rsid w:val="00D42EDF"/>
    <w:rsid w:val="00D472D8"/>
    <w:rsid w:val="00D51A14"/>
    <w:rsid w:val="00D54491"/>
    <w:rsid w:val="00D62789"/>
    <w:rsid w:val="00D679B9"/>
    <w:rsid w:val="00D710BD"/>
    <w:rsid w:val="00D72FFF"/>
    <w:rsid w:val="00D8691B"/>
    <w:rsid w:val="00D96B41"/>
    <w:rsid w:val="00DA2D78"/>
    <w:rsid w:val="00DB4443"/>
    <w:rsid w:val="00DB4A32"/>
    <w:rsid w:val="00DB6061"/>
    <w:rsid w:val="00DB6D8F"/>
    <w:rsid w:val="00DB78E0"/>
    <w:rsid w:val="00DC02B5"/>
    <w:rsid w:val="00DC0BE3"/>
    <w:rsid w:val="00DC432B"/>
    <w:rsid w:val="00DD221E"/>
    <w:rsid w:val="00DD4125"/>
    <w:rsid w:val="00DF0F72"/>
    <w:rsid w:val="00DF1B8D"/>
    <w:rsid w:val="00DF4C8D"/>
    <w:rsid w:val="00E012E7"/>
    <w:rsid w:val="00E0411F"/>
    <w:rsid w:val="00E07C97"/>
    <w:rsid w:val="00E10F85"/>
    <w:rsid w:val="00E11F05"/>
    <w:rsid w:val="00E1524C"/>
    <w:rsid w:val="00E2049D"/>
    <w:rsid w:val="00E24231"/>
    <w:rsid w:val="00E25B24"/>
    <w:rsid w:val="00E34235"/>
    <w:rsid w:val="00E371C5"/>
    <w:rsid w:val="00E37558"/>
    <w:rsid w:val="00E37F32"/>
    <w:rsid w:val="00E40DC1"/>
    <w:rsid w:val="00E444C8"/>
    <w:rsid w:val="00E55CD5"/>
    <w:rsid w:val="00E579B7"/>
    <w:rsid w:val="00E65877"/>
    <w:rsid w:val="00E731C8"/>
    <w:rsid w:val="00E73EBF"/>
    <w:rsid w:val="00E800EC"/>
    <w:rsid w:val="00E8371A"/>
    <w:rsid w:val="00E93074"/>
    <w:rsid w:val="00E93161"/>
    <w:rsid w:val="00EA188E"/>
    <w:rsid w:val="00EA6093"/>
    <w:rsid w:val="00EB1A78"/>
    <w:rsid w:val="00EB67F1"/>
    <w:rsid w:val="00EC544B"/>
    <w:rsid w:val="00ED698F"/>
    <w:rsid w:val="00EE10DE"/>
    <w:rsid w:val="00EF0C69"/>
    <w:rsid w:val="00EF3A8E"/>
    <w:rsid w:val="00EF7C58"/>
    <w:rsid w:val="00F01217"/>
    <w:rsid w:val="00F02884"/>
    <w:rsid w:val="00F0585F"/>
    <w:rsid w:val="00F1407F"/>
    <w:rsid w:val="00F15496"/>
    <w:rsid w:val="00F20567"/>
    <w:rsid w:val="00F22CF8"/>
    <w:rsid w:val="00F2784C"/>
    <w:rsid w:val="00F372EB"/>
    <w:rsid w:val="00F37641"/>
    <w:rsid w:val="00F377F6"/>
    <w:rsid w:val="00F40B9B"/>
    <w:rsid w:val="00F523A5"/>
    <w:rsid w:val="00F54267"/>
    <w:rsid w:val="00F555A8"/>
    <w:rsid w:val="00F60C75"/>
    <w:rsid w:val="00F62182"/>
    <w:rsid w:val="00F63B13"/>
    <w:rsid w:val="00F63C51"/>
    <w:rsid w:val="00F742E1"/>
    <w:rsid w:val="00F74581"/>
    <w:rsid w:val="00F76198"/>
    <w:rsid w:val="00F86E5D"/>
    <w:rsid w:val="00FA66C9"/>
    <w:rsid w:val="00FB3E46"/>
    <w:rsid w:val="00FD6133"/>
    <w:rsid w:val="00FE1137"/>
    <w:rsid w:val="00FE1388"/>
    <w:rsid w:val="00FE5344"/>
    <w:rsid w:val="00FE7FED"/>
    <w:rsid w:val="00FF00CB"/>
    <w:rsid w:val="00FF0A2E"/>
    <w:rsid w:val="00FF2455"/>
    <w:rsid w:val="00FF3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99"/>
    <w:lsdException w:name="annotation text" w:uiPriority="99"/>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itle" w:semiHidden="0" w:uiPriority="1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443"/>
    <w:rPr>
      <w:sz w:val="22"/>
      <w:szCs w:val="22"/>
      <w:lang w:val="en-GB"/>
    </w:rPr>
  </w:style>
  <w:style w:type="paragraph" w:styleId="Ttulo1">
    <w:name w:val="heading 1"/>
    <w:basedOn w:val="Normal"/>
    <w:next w:val="Num-DocParagraph"/>
    <w:link w:val="Ttulo1Car"/>
    <w:qFormat/>
    <w:rsid w:val="00BC4FD1"/>
    <w:pPr>
      <w:keepNext/>
      <w:spacing w:before="1200" w:after="720"/>
      <w:jc w:val="center"/>
      <w:outlineLvl w:val="0"/>
    </w:pPr>
    <w:rPr>
      <w:b/>
      <w:bCs/>
      <w:kern w:val="28"/>
      <w:sz w:val="28"/>
      <w:szCs w:val="24"/>
    </w:rPr>
  </w:style>
  <w:style w:type="paragraph" w:styleId="Ttulo2">
    <w:name w:val="heading 2"/>
    <w:basedOn w:val="Normal"/>
    <w:next w:val="Num-DocParagraph"/>
    <w:link w:val="Ttulo2Car"/>
    <w:qFormat/>
    <w:rsid w:val="002C056C"/>
    <w:pPr>
      <w:keepNext/>
      <w:tabs>
        <w:tab w:val="left" w:pos="284"/>
      </w:tabs>
      <w:spacing w:before="240" w:after="240"/>
      <w:ind w:right="680"/>
      <w:outlineLvl w:val="1"/>
    </w:pPr>
    <w:rPr>
      <w:b/>
      <w:bCs/>
      <w:sz w:val="24"/>
      <w:szCs w:val="24"/>
    </w:rPr>
  </w:style>
  <w:style w:type="paragraph" w:styleId="Ttulo3">
    <w:name w:val="heading 3"/>
    <w:basedOn w:val="Normal"/>
    <w:next w:val="Num-DocParagraph"/>
    <w:link w:val="Ttulo3Car"/>
    <w:qFormat/>
    <w:rsid w:val="00BC4FD1"/>
    <w:pPr>
      <w:keepNext/>
      <w:spacing w:before="240" w:after="120"/>
      <w:ind w:left="680" w:right="680"/>
      <w:outlineLvl w:val="2"/>
    </w:pPr>
    <w:rPr>
      <w:b/>
      <w:bCs/>
      <w:i/>
      <w:iCs/>
      <w:sz w:val="24"/>
      <w:szCs w:val="24"/>
    </w:rPr>
  </w:style>
  <w:style w:type="paragraph" w:styleId="Ttulo4">
    <w:name w:val="heading 4"/>
    <w:basedOn w:val="Normal"/>
    <w:next w:val="Num-DocParagraph"/>
    <w:link w:val="Ttulo4Car"/>
    <w:qFormat/>
    <w:rsid w:val="00BC4FD1"/>
    <w:pPr>
      <w:keepNext/>
      <w:spacing w:before="240" w:after="120"/>
      <w:ind w:left="680" w:right="680"/>
      <w:outlineLvl w:val="3"/>
    </w:pPr>
    <w:rPr>
      <w:i/>
      <w:iCs/>
      <w:sz w:val="24"/>
      <w:szCs w:val="24"/>
    </w:rPr>
  </w:style>
  <w:style w:type="paragraph" w:styleId="Ttulo5">
    <w:name w:val="heading 5"/>
    <w:basedOn w:val="Normal"/>
    <w:next w:val="Num-DocParagraph"/>
    <w:link w:val="Ttulo5Car"/>
    <w:qFormat/>
    <w:rsid w:val="00BC4FD1"/>
    <w:pPr>
      <w:keepNext/>
      <w:spacing w:before="240" w:after="120"/>
      <w:ind w:left="680" w:right="680"/>
      <w:outlineLvl w:val="4"/>
    </w:pPr>
    <w:rPr>
      <w:sz w:val="24"/>
      <w:szCs w:val="24"/>
    </w:rPr>
  </w:style>
  <w:style w:type="paragraph" w:styleId="Ttulo6">
    <w:name w:val="heading 6"/>
    <w:basedOn w:val="Normal"/>
    <w:next w:val="Normal"/>
    <w:link w:val="Ttulo6Car"/>
    <w:qFormat/>
    <w:rsid w:val="00473421"/>
    <w:pPr>
      <w:tabs>
        <w:tab w:val="left" w:pos="850"/>
        <w:tab w:val="left" w:pos="1191"/>
        <w:tab w:val="left" w:pos="1531"/>
      </w:tabs>
      <w:spacing w:before="240" w:after="60"/>
      <w:jc w:val="both"/>
      <w:outlineLvl w:val="5"/>
    </w:pPr>
    <w:rPr>
      <w:b/>
      <w:bCs/>
      <w:lang w:eastAsia="zh-CN"/>
    </w:rPr>
  </w:style>
  <w:style w:type="paragraph" w:styleId="Ttulo7">
    <w:name w:val="heading 7"/>
    <w:basedOn w:val="Normal"/>
    <w:next w:val="Normal"/>
    <w:link w:val="Ttulo7Car"/>
    <w:qFormat/>
    <w:rsid w:val="00473421"/>
    <w:pPr>
      <w:tabs>
        <w:tab w:val="left" w:pos="850"/>
        <w:tab w:val="left" w:pos="1191"/>
        <w:tab w:val="left" w:pos="1531"/>
      </w:tabs>
      <w:spacing w:before="240" w:after="60"/>
      <w:jc w:val="both"/>
      <w:outlineLvl w:val="6"/>
    </w:pPr>
    <w:rPr>
      <w:sz w:val="24"/>
      <w:szCs w:val="24"/>
      <w:lang w:eastAsia="zh-CN"/>
    </w:rPr>
  </w:style>
  <w:style w:type="paragraph" w:styleId="Ttulo8">
    <w:name w:val="heading 8"/>
    <w:basedOn w:val="Normal"/>
    <w:next w:val="Normal"/>
    <w:link w:val="Ttulo8Car"/>
    <w:qFormat/>
    <w:rsid w:val="00473421"/>
    <w:pPr>
      <w:tabs>
        <w:tab w:val="left" w:pos="850"/>
        <w:tab w:val="left" w:pos="1191"/>
        <w:tab w:val="left" w:pos="1531"/>
      </w:tabs>
      <w:spacing w:before="240" w:after="60"/>
      <w:jc w:val="both"/>
      <w:outlineLvl w:val="7"/>
    </w:pPr>
    <w:rPr>
      <w:i/>
      <w:iCs/>
      <w:sz w:val="24"/>
      <w:szCs w:val="24"/>
      <w:lang w:eastAsia="zh-CN"/>
    </w:rPr>
  </w:style>
  <w:style w:type="paragraph" w:styleId="Ttulo9">
    <w:name w:val="heading 9"/>
    <w:basedOn w:val="Normal"/>
    <w:next w:val="Normal"/>
    <w:link w:val="Ttulo9Car"/>
    <w:qFormat/>
    <w:rsid w:val="00473421"/>
    <w:pPr>
      <w:tabs>
        <w:tab w:val="left" w:pos="850"/>
        <w:tab w:val="left" w:pos="1191"/>
        <w:tab w:val="left" w:pos="1531"/>
      </w:tabs>
      <w:spacing w:before="240" w:after="60"/>
      <w:jc w:val="both"/>
      <w:outlineLvl w:val="8"/>
    </w:pPr>
    <w:rPr>
      <w:rFonts w:ascii="Arial" w:hAnsi="Arial" w:cs="Arial"/>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lumnsHeading">
    <w:name w:val="Columns Heading"/>
    <w:basedOn w:val="Normal"/>
    <w:rsid w:val="00BC4FD1"/>
    <w:rPr>
      <w:rFonts w:ascii="Arial Narrow" w:hAnsi="Arial Narrow"/>
      <w:sz w:val="17"/>
      <w:szCs w:val="17"/>
    </w:rPr>
  </w:style>
  <w:style w:type="paragraph" w:customStyle="1" w:styleId="Table">
    <w:name w:val="Table"/>
    <w:basedOn w:val="Normal"/>
    <w:rsid w:val="007821EE"/>
    <w:pPr>
      <w:tabs>
        <w:tab w:val="left" w:pos="850"/>
        <w:tab w:val="left" w:pos="1191"/>
        <w:tab w:val="left" w:pos="1531"/>
      </w:tabs>
      <w:spacing w:after="240"/>
      <w:jc w:val="center"/>
    </w:pPr>
  </w:style>
  <w:style w:type="paragraph" w:customStyle="1" w:styleId="TableNote">
    <w:name w:val="Table Note"/>
    <w:basedOn w:val="Normal"/>
    <w:rsid w:val="00A54F78"/>
    <w:pPr>
      <w:tabs>
        <w:tab w:val="left" w:pos="850"/>
        <w:tab w:val="left" w:pos="1191"/>
        <w:tab w:val="left" w:pos="1531"/>
      </w:tabs>
      <w:spacing w:before="60" w:after="120"/>
      <w:jc w:val="both"/>
    </w:pPr>
    <w:rPr>
      <w:sz w:val="18"/>
      <w:szCs w:val="18"/>
    </w:rPr>
  </w:style>
  <w:style w:type="paragraph" w:customStyle="1" w:styleId="TableSub-title">
    <w:name w:val="Table Sub-title"/>
    <w:basedOn w:val="Normal"/>
    <w:rsid w:val="00DB4443"/>
    <w:pPr>
      <w:keepNext/>
      <w:tabs>
        <w:tab w:val="left" w:pos="850"/>
        <w:tab w:val="left" w:pos="1191"/>
        <w:tab w:val="left" w:pos="1531"/>
      </w:tabs>
      <w:spacing w:after="120"/>
      <w:jc w:val="center"/>
    </w:pPr>
    <w:rPr>
      <w:sz w:val="18"/>
      <w:szCs w:val="18"/>
    </w:rPr>
  </w:style>
  <w:style w:type="paragraph" w:customStyle="1" w:styleId="TableTitle">
    <w:name w:val="Table Title"/>
    <w:basedOn w:val="Normal"/>
    <w:rsid w:val="002C056C"/>
    <w:pPr>
      <w:keepNext/>
      <w:tabs>
        <w:tab w:val="left" w:pos="850"/>
        <w:tab w:val="left" w:pos="1191"/>
        <w:tab w:val="left" w:pos="1531"/>
      </w:tabs>
      <w:spacing w:before="240" w:after="240"/>
      <w:jc w:val="center"/>
    </w:pPr>
    <w:rPr>
      <w:b/>
      <w:sz w:val="20"/>
      <w:szCs w:val="20"/>
    </w:rPr>
  </w:style>
  <w:style w:type="paragraph" w:customStyle="1" w:styleId="SourceDescription">
    <w:name w:val="Source Description"/>
    <w:aliases w:val="sr + Italic"/>
    <w:basedOn w:val="Normal"/>
    <w:link w:val="SourceDescriptionChar"/>
    <w:qFormat/>
    <w:rsid w:val="00A54F78"/>
    <w:pPr>
      <w:tabs>
        <w:tab w:val="left" w:pos="850"/>
        <w:tab w:val="left" w:pos="1191"/>
        <w:tab w:val="left" w:pos="1531"/>
      </w:tabs>
      <w:spacing w:before="60" w:after="360"/>
      <w:jc w:val="both"/>
    </w:pPr>
    <w:rPr>
      <w:sz w:val="18"/>
      <w:szCs w:val="18"/>
    </w:rPr>
  </w:style>
  <w:style w:type="paragraph" w:customStyle="1" w:styleId="RowsHeading">
    <w:name w:val="Rows Heading"/>
    <w:basedOn w:val="Normal"/>
    <w:rsid w:val="00DB4443"/>
    <w:rPr>
      <w:rFonts w:ascii="Arial Narrow" w:hAnsi="Arial Narrow"/>
      <w:sz w:val="17"/>
      <w:szCs w:val="17"/>
    </w:rPr>
  </w:style>
  <w:style w:type="paragraph" w:customStyle="1" w:styleId="Cell">
    <w:name w:val="Cell"/>
    <w:basedOn w:val="Normal"/>
    <w:rsid w:val="00BC4FD1"/>
    <w:rPr>
      <w:rFonts w:ascii="Arial Narrow" w:hAnsi="Arial Narrow"/>
      <w:sz w:val="17"/>
      <w:szCs w:val="17"/>
    </w:rPr>
  </w:style>
  <w:style w:type="paragraph" w:styleId="Epgrafe">
    <w:name w:val="caption"/>
    <w:basedOn w:val="Normal"/>
    <w:next w:val="Normal"/>
    <w:qFormat/>
    <w:rsid w:val="007821EE"/>
    <w:pPr>
      <w:spacing w:before="120" w:after="120"/>
    </w:pPr>
    <w:rPr>
      <w:b/>
    </w:rPr>
  </w:style>
  <w:style w:type="paragraph" w:customStyle="1" w:styleId="AnnexHeading">
    <w:name w:val="Annex Heading"/>
    <w:basedOn w:val="Normal"/>
    <w:next w:val="Textodecuerpo"/>
    <w:rsid w:val="00BC4FD1"/>
    <w:pPr>
      <w:keepNext/>
      <w:spacing w:before="1200" w:after="720"/>
      <w:jc w:val="center"/>
    </w:pPr>
    <w:rPr>
      <w:b/>
      <w:bCs/>
      <w:sz w:val="28"/>
      <w:szCs w:val="28"/>
    </w:rPr>
  </w:style>
  <w:style w:type="paragraph" w:styleId="Textodecuerpo">
    <w:name w:val="Body Text"/>
    <w:basedOn w:val="Normal"/>
    <w:link w:val="TextodecuerpoCar"/>
    <w:qFormat/>
    <w:rsid w:val="00BC4FD1"/>
    <w:pPr>
      <w:tabs>
        <w:tab w:val="left" w:pos="1361"/>
        <w:tab w:val="left" w:pos="1701"/>
        <w:tab w:val="left" w:pos="2041"/>
      </w:tabs>
      <w:spacing w:after="120"/>
      <w:ind w:left="680" w:right="680" w:firstLine="340"/>
      <w:jc w:val="both"/>
    </w:pPr>
    <w:rPr>
      <w:lang w:val="en-US"/>
    </w:rPr>
  </w:style>
  <w:style w:type="paragraph" w:customStyle="1" w:styleId="Annotation">
    <w:name w:val="Annotation"/>
    <w:basedOn w:val="Textodecuerpo"/>
    <w:rsid w:val="00BC4FD1"/>
    <w:pPr>
      <w:ind w:firstLine="0"/>
      <w:jc w:val="left"/>
    </w:pPr>
    <w:rPr>
      <w:b/>
      <w:bCs/>
      <w:i/>
      <w:iCs/>
    </w:rPr>
  </w:style>
  <w:style w:type="paragraph" w:customStyle="1" w:styleId="AppendixHeading">
    <w:name w:val="Appendix Heading"/>
    <w:basedOn w:val="Normal"/>
    <w:next w:val="Textodecuerpo"/>
    <w:rsid w:val="00BC4FD1"/>
    <w:pPr>
      <w:keepNext/>
      <w:spacing w:before="1200" w:after="720"/>
      <w:jc w:val="center"/>
    </w:pPr>
    <w:rPr>
      <w:b/>
      <w:bCs/>
      <w:sz w:val="28"/>
      <w:szCs w:val="28"/>
    </w:rPr>
  </w:style>
  <w:style w:type="paragraph" w:customStyle="1" w:styleId="Biblio-Entry">
    <w:name w:val="Biblio-Entry"/>
    <w:basedOn w:val="Textodecuerpo"/>
    <w:link w:val="Biblio-EntryChar"/>
    <w:rsid w:val="00BC4FD1"/>
    <w:pPr>
      <w:ind w:left="964" w:hanging="284"/>
    </w:pPr>
  </w:style>
  <w:style w:type="paragraph" w:customStyle="1" w:styleId="BibliographyHeading">
    <w:name w:val="Bibliography Heading"/>
    <w:basedOn w:val="Normal"/>
    <w:next w:val="Biblio-Entry"/>
    <w:rsid w:val="00BC4FD1"/>
    <w:pPr>
      <w:keepNext/>
      <w:spacing w:before="1200" w:after="720"/>
      <w:jc w:val="center"/>
    </w:pPr>
    <w:rPr>
      <w:bCs/>
      <w:i/>
      <w:sz w:val="32"/>
      <w:szCs w:val="32"/>
      <w:lang w:val="en-US"/>
    </w:rPr>
  </w:style>
  <w:style w:type="paragraph" w:customStyle="1" w:styleId="BoxHeading">
    <w:name w:val="Box Heading"/>
    <w:basedOn w:val="Normal"/>
    <w:next w:val="BoxBodyText"/>
    <w:rsid w:val="00BC4FD1"/>
    <w:pPr>
      <w:spacing w:before="240" w:after="240"/>
      <w:jc w:val="center"/>
    </w:pPr>
    <w:rPr>
      <w:rFonts w:cs="Arial"/>
      <w:b/>
      <w:bCs/>
    </w:rPr>
  </w:style>
  <w:style w:type="paragraph" w:customStyle="1" w:styleId="ConclusionHeading">
    <w:name w:val="Conclusion Heading"/>
    <w:basedOn w:val="Normal"/>
    <w:next w:val="Textodecuerpo"/>
    <w:rsid w:val="00BC4FD1"/>
    <w:pPr>
      <w:keepNext/>
      <w:spacing w:before="1200" w:after="720"/>
      <w:jc w:val="center"/>
    </w:pPr>
    <w:rPr>
      <w:b/>
      <w:bCs/>
      <w:sz w:val="28"/>
      <w:szCs w:val="28"/>
    </w:rPr>
  </w:style>
  <w:style w:type="paragraph" w:styleId="Textonotaalfinal">
    <w:name w:val="endnote text"/>
    <w:basedOn w:val="Normal"/>
    <w:link w:val="TextonotaalfinalCar"/>
    <w:uiPriority w:val="99"/>
    <w:rsid w:val="003348D7"/>
    <w:pPr>
      <w:spacing w:after="120"/>
      <w:ind w:left="1360" w:right="680" w:hanging="680"/>
      <w:jc w:val="both"/>
    </w:pPr>
    <w:rPr>
      <w:sz w:val="21"/>
      <w:szCs w:val="21"/>
    </w:rPr>
  </w:style>
  <w:style w:type="paragraph" w:customStyle="1" w:styleId="EndnotesHeading">
    <w:name w:val="Endnotes Heading"/>
    <w:basedOn w:val="Normal"/>
    <w:next w:val="Textodecuerpo"/>
    <w:rsid w:val="00BC4FD1"/>
    <w:pPr>
      <w:keepNext/>
      <w:spacing w:before="1200" w:after="480"/>
      <w:jc w:val="center"/>
    </w:pPr>
    <w:rPr>
      <w:b/>
      <w:bCs/>
      <w:sz w:val="28"/>
      <w:szCs w:val="28"/>
    </w:rPr>
  </w:style>
  <w:style w:type="paragraph" w:customStyle="1" w:styleId="ExecutiveSummaryHeading">
    <w:name w:val="Executive Summary Heading"/>
    <w:basedOn w:val="Normal"/>
    <w:next w:val="Textodecuerpo"/>
    <w:rsid w:val="00BC4FD1"/>
    <w:pPr>
      <w:keepNext/>
      <w:spacing w:before="1200" w:after="720"/>
      <w:jc w:val="center"/>
    </w:pPr>
    <w:rPr>
      <w:b/>
      <w:bCs/>
      <w:sz w:val="28"/>
      <w:szCs w:val="28"/>
    </w:rPr>
  </w:style>
  <w:style w:type="paragraph" w:customStyle="1" w:styleId="FigureNote">
    <w:name w:val="Figure Note"/>
    <w:basedOn w:val="Normal"/>
    <w:rsid w:val="00A54F78"/>
    <w:pPr>
      <w:spacing w:before="60" w:after="120"/>
      <w:jc w:val="both"/>
    </w:pPr>
    <w:rPr>
      <w:rFonts w:cs="Arial"/>
      <w:sz w:val="18"/>
      <w:szCs w:val="18"/>
    </w:rPr>
  </w:style>
  <w:style w:type="paragraph" w:customStyle="1" w:styleId="FigureSub-title">
    <w:name w:val="Figure Sub-title"/>
    <w:basedOn w:val="Normal"/>
    <w:rsid w:val="00E012E7"/>
    <w:pPr>
      <w:keepNext/>
      <w:spacing w:after="120"/>
      <w:jc w:val="center"/>
    </w:pPr>
    <w:rPr>
      <w:rFonts w:cs="Arial"/>
      <w:sz w:val="18"/>
      <w:szCs w:val="18"/>
    </w:rPr>
  </w:style>
  <w:style w:type="paragraph" w:customStyle="1" w:styleId="FigureTitle">
    <w:name w:val="Figure Title"/>
    <w:basedOn w:val="Normal"/>
    <w:next w:val="FigureSub-title"/>
    <w:rsid w:val="00E012E7"/>
    <w:pPr>
      <w:keepNext/>
      <w:spacing w:before="240" w:after="120"/>
      <w:jc w:val="center"/>
    </w:pPr>
    <w:rPr>
      <w:rFonts w:cs="Arial"/>
      <w:b/>
      <w:bCs/>
      <w:sz w:val="20"/>
      <w:szCs w:val="20"/>
    </w:rPr>
  </w:style>
  <w:style w:type="paragraph" w:customStyle="1" w:styleId="ForewordHeading">
    <w:name w:val="Foreword Heading"/>
    <w:basedOn w:val="Normal"/>
    <w:next w:val="Textodecuerpo"/>
    <w:link w:val="ForewordHeadingChar"/>
    <w:rsid w:val="00BC4FD1"/>
    <w:pPr>
      <w:keepNext/>
      <w:spacing w:before="1200" w:after="720"/>
      <w:jc w:val="center"/>
    </w:pPr>
    <w:rPr>
      <w:bCs/>
      <w:i/>
      <w:sz w:val="32"/>
      <w:szCs w:val="32"/>
    </w:rPr>
  </w:style>
  <w:style w:type="paragraph" w:customStyle="1" w:styleId="GlossaryHeading">
    <w:name w:val="Glossary Heading"/>
    <w:basedOn w:val="Normal"/>
    <w:next w:val="Textodecuerpo"/>
    <w:rsid w:val="00BC4FD1"/>
    <w:pPr>
      <w:keepNext/>
      <w:spacing w:before="1200" w:after="720"/>
      <w:jc w:val="center"/>
    </w:pPr>
    <w:rPr>
      <w:bCs/>
      <w:i/>
      <w:sz w:val="32"/>
      <w:szCs w:val="32"/>
    </w:rPr>
  </w:style>
  <w:style w:type="paragraph" w:customStyle="1" w:styleId="Graphic">
    <w:name w:val="Graphic"/>
    <w:basedOn w:val="Normal"/>
    <w:next w:val="Textodecuerpo"/>
    <w:rsid w:val="00BC4FD1"/>
    <w:pPr>
      <w:spacing w:after="240"/>
      <w:jc w:val="center"/>
    </w:pPr>
  </w:style>
  <w:style w:type="paragraph" w:customStyle="1" w:styleId="HiddenText">
    <w:name w:val="Hidden Text"/>
    <w:basedOn w:val="Textodecuerpo"/>
    <w:rsid w:val="00BC4FD1"/>
    <w:pPr>
      <w:keepNext/>
      <w:spacing w:after="0"/>
      <w:ind w:left="1021" w:right="0" w:firstLine="0"/>
    </w:pPr>
    <w:rPr>
      <w:sz w:val="2"/>
      <w:szCs w:val="2"/>
    </w:rPr>
  </w:style>
  <w:style w:type="paragraph" w:customStyle="1" w:styleId="Highlight">
    <w:name w:val="Highlight"/>
    <w:basedOn w:val="Textodecuerpo"/>
    <w:rsid w:val="00E012E7"/>
    <w:pPr>
      <w:ind w:left="1021" w:firstLine="0"/>
    </w:pPr>
    <w:rPr>
      <w:i/>
      <w:iCs/>
    </w:rPr>
  </w:style>
  <w:style w:type="paragraph" w:styleId="ndice1">
    <w:name w:val="index 1"/>
    <w:basedOn w:val="Normal"/>
    <w:next w:val="Normal"/>
    <w:autoRedefine/>
    <w:semiHidden/>
    <w:rsid w:val="00BC4FD1"/>
    <w:pPr>
      <w:ind w:left="220" w:hanging="220"/>
    </w:pPr>
  </w:style>
  <w:style w:type="paragraph" w:styleId="Ttulodendice">
    <w:name w:val="index heading"/>
    <w:basedOn w:val="Normal"/>
    <w:next w:val="Textodecuerpo"/>
    <w:semiHidden/>
    <w:rsid w:val="00BC4FD1"/>
    <w:pPr>
      <w:keepNext/>
      <w:spacing w:before="1200" w:after="720"/>
      <w:jc w:val="center"/>
    </w:pPr>
    <w:rPr>
      <w:b/>
      <w:bCs/>
      <w:sz w:val="28"/>
      <w:szCs w:val="28"/>
    </w:rPr>
  </w:style>
  <w:style w:type="paragraph" w:customStyle="1" w:styleId="IntroductionHeading">
    <w:name w:val="Introduction Heading"/>
    <w:basedOn w:val="Normal"/>
    <w:next w:val="Textodecuerpo"/>
    <w:rsid w:val="00BC4FD1"/>
    <w:pPr>
      <w:keepNext/>
      <w:spacing w:before="1200" w:after="720"/>
      <w:jc w:val="center"/>
    </w:pPr>
    <w:rPr>
      <w:bCs/>
      <w:i/>
      <w:sz w:val="32"/>
      <w:szCs w:val="32"/>
    </w:rPr>
  </w:style>
  <w:style w:type="paragraph" w:styleId="Lista">
    <w:name w:val="List"/>
    <w:basedOn w:val="Normal"/>
    <w:rsid w:val="00BC4FD1"/>
    <w:pPr>
      <w:spacing w:after="120"/>
      <w:ind w:left="1305" w:right="680" w:hanging="284"/>
      <w:jc w:val="both"/>
    </w:pPr>
  </w:style>
  <w:style w:type="paragraph" w:styleId="Lista2">
    <w:name w:val="List 2"/>
    <w:basedOn w:val="Normal"/>
    <w:rsid w:val="00BC4FD1"/>
    <w:pPr>
      <w:spacing w:after="120"/>
      <w:ind w:left="1701" w:right="680" w:hanging="340"/>
      <w:jc w:val="both"/>
    </w:pPr>
  </w:style>
  <w:style w:type="paragraph" w:styleId="Lista3">
    <w:name w:val="List 3"/>
    <w:basedOn w:val="Normal"/>
    <w:rsid w:val="00BC4FD1"/>
    <w:pPr>
      <w:tabs>
        <w:tab w:val="left" w:pos="2041"/>
      </w:tabs>
      <w:spacing w:after="120"/>
      <w:ind w:left="2041" w:right="680" w:hanging="340"/>
      <w:jc w:val="both"/>
    </w:pPr>
  </w:style>
  <w:style w:type="paragraph" w:styleId="Lista4">
    <w:name w:val="List 4"/>
    <w:basedOn w:val="Normal"/>
    <w:rsid w:val="00BC4FD1"/>
    <w:pPr>
      <w:spacing w:after="120"/>
      <w:ind w:left="2381" w:right="680" w:hanging="340"/>
      <w:jc w:val="both"/>
    </w:pPr>
  </w:style>
  <w:style w:type="paragraph" w:styleId="Lista5">
    <w:name w:val="List 5"/>
    <w:basedOn w:val="Normal"/>
    <w:rsid w:val="00BC4FD1"/>
    <w:pPr>
      <w:spacing w:after="120"/>
      <w:ind w:left="2721" w:right="680" w:hanging="340"/>
      <w:jc w:val="both"/>
    </w:pPr>
  </w:style>
  <w:style w:type="paragraph" w:styleId="Listaconvietas">
    <w:name w:val="List Bullet"/>
    <w:basedOn w:val="Normal"/>
    <w:rsid w:val="00BC4FD1"/>
    <w:pPr>
      <w:numPr>
        <w:numId w:val="1"/>
      </w:numPr>
      <w:tabs>
        <w:tab w:val="clear" w:pos="850"/>
        <w:tab w:val="left" w:pos="1361"/>
      </w:tabs>
      <w:spacing w:after="120"/>
      <w:ind w:left="1361" w:right="680" w:hanging="340"/>
      <w:jc w:val="both"/>
    </w:pPr>
  </w:style>
  <w:style w:type="paragraph" w:styleId="Listaconvietas2">
    <w:name w:val="List Bullet 2"/>
    <w:basedOn w:val="Normal"/>
    <w:rsid w:val="00BC4FD1"/>
    <w:pPr>
      <w:numPr>
        <w:numId w:val="2"/>
      </w:numPr>
      <w:tabs>
        <w:tab w:val="clear" w:pos="1190"/>
        <w:tab w:val="left" w:pos="1701"/>
      </w:tabs>
      <w:spacing w:after="120"/>
      <w:ind w:left="1701" w:right="680"/>
      <w:jc w:val="both"/>
    </w:pPr>
  </w:style>
  <w:style w:type="paragraph" w:styleId="Listaconvietas3">
    <w:name w:val="List Bullet 3"/>
    <w:basedOn w:val="Normal"/>
    <w:rsid w:val="00BC4FD1"/>
    <w:pPr>
      <w:numPr>
        <w:numId w:val="3"/>
      </w:numPr>
      <w:tabs>
        <w:tab w:val="clear" w:pos="1474"/>
        <w:tab w:val="left" w:pos="2041"/>
      </w:tabs>
      <w:spacing w:after="120"/>
      <w:ind w:left="2041" w:right="680"/>
      <w:jc w:val="both"/>
    </w:pPr>
  </w:style>
  <w:style w:type="paragraph" w:styleId="Listaconvietas4">
    <w:name w:val="List Bullet 4"/>
    <w:basedOn w:val="Normal"/>
    <w:rsid w:val="00BC4FD1"/>
    <w:pPr>
      <w:numPr>
        <w:numId w:val="4"/>
      </w:numPr>
      <w:tabs>
        <w:tab w:val="clear" w:pos="1757"/>
        <w:tab w:val="left" w:pos="2381"/>
      </w:tabs>
      <w:spacing w:after="120"/>
      <w:ind w:left="2381" w:right="680"/>
      <w:jc w:val="both"/>
    </w:pPr>
  </w:style>
  <w:style w:type="paragraph" w:styleId="Listaconvietas5">
    <w:name w:val="List Bullet 5"/>
    <w:basedOn w:val="Normal"/>
    <w:rsid w:val="00BC4FD1"/>
    <w:pPr>
      <w:numPr>
        <w:numId w:val="5"/>
      </w:numPr>
      <w:tabs>
        <w:tab w:val="clear" w:pos="2041"/>
        <w:tab w:val="left" w:pos="2722"/>
      </w:tabs>
      <w:spacing w:after="120"/>
      <w:ind w:left="2721" w:right="680"/>
      <w:jc w:val="both"/>
    </w:pPr>
  </w:style>
  <w:style w:type="paragraph" w:styleId="Continuarlista">
    <w:name w:val="List Continue"/>
    <w:basedOn w:val="Normal"/>
    <w:rsid w:val="00BC4FD1"/>
    <w:pPr>
      <w:spacing w:after="120"/>
      <w:ind w:left="1021" w:right="680"/>
      <w:jc w:val="both"/>
    </w:pPr>
  </w:style>
  <w:style w:type="paragraph" w:styleId="Continuarlista2">
    <w:name w:val="List Continue 2"/>
    <w:basedOn w:val="Normal"/>
    <w:link w:val="Continuarlista2Car"/>
    <w:rsid w:val="00BC4FD1"/>
    <w:pPr>
      <w:spacing w:after="120"/>
      <w:ind w:left="1361" w:right="680"/>
      <w:jc w:val="both"/>
    </w:pPr>
  </w:style>
  <w:style w:type="paragraph" w:styleId="Continuarlista3">
    <w:name w:val="List Continue 3"/>
    <w:basedOn w:val="Normal"/>
    <w:rsid w:val="00BC4FD1"/>
    <w:pPr>
      <w:spacing w:after="120"/>
      <w:ind w:left="1701" w:right="680"/>
      <w:jc w:val="both"/>
    </w:pPr>
  </w:style>
  <w:style w:type="paragraph" w:styleId="Continuarlista4">
    <w:name w:val="List Continue 4"/>
    <w:basedOn w:val="Normal"/>
    <w:rsid w:val="00BC4FD1"/>
    <w:pPr>
      <w:spacing w:after="120"/>
      <w:ind w:left="2041" w:right="680"/>
      <w:jc w:val="both"/>
    </w:pPr>
  </w:style>
  <w:style w:type="paragraph" w:styleId="Continuarlista5">
    <w:name w:val="List Continue 5"/>
    <w:basedOn w:val="Normal"/>
    <w:rsid w:val="00BC4FD1"/>
    <w:pPr>
      <w:spacing w:after="120"/>
      <w:ind w:left="2381" w:right="680"/>
      <w:jc w:val="both"/>
    </w:pPr>
  </w:style>
  <w:style w:type="paragraph" w:styleId="Listaconnmeros">
    <w:name w:val="List Number"/>
    <w:basedOn w:val="Normal"/>
    <w:rsid w:val="00BC4FD1"/>
    <w:pPr>
      <w:numPr>
        <w:numId w:val="6"/>
      </w:numPr>
      <w:tabs>
        <w:tab w:val="clear" w:pos="850"/>
        <w:tab w:val="left" w:pos="1361"/>
      </w:tabs>
      <w:spacing w:after="120"/>
      <w:ind w:left="1361" w:right="680" w:hanging="340"/>
      <w:jc w:val="both"/>
    </w:pPr>
  </w:style>
  <w:style w:type="paragraph" w:styleId="Listaconnmeros2">
    <w:name w:val="List Number 2"/>
    <w:basedOn w:val="Normal"/>
    <w:rsid w:val="00BC4FD1"/>
    <w:pPr>
      <w:numPr>
        <w:ilvl w:val="1"/>
        <w:numId w:val="6"/>
      </w:numPr>
      <w:tabs>
        <w:tab w:val="clear" w:pos="1191"/>
        <w:tab w:val="num" w:pos="1701"/>
      </w:tabs>
      <w:spacing w:after="120"/>
      <w:ind w:left="1701" w:right="680" w:hanging="340"/>
      <w:jc w:val="both"/>
    </w:pPr>
  </w:style>
  <w:style w:type="paragraph" w:styleId="Listaconnmeros3">
    <w:name w:val="List Number 3"/>
    <w:basedOn w:val="Normal"/>
    <w:rsid w:val="00BC4FD1"/>
    <w:pPr>
      <w:numPr>
        <w:ilvl w:val="2"/>
        <w:numId w:val="6"/>
      </w:numPr>
      <w:tabs>
        <w:tab w:val="clear" w:pos="1474"/>
        <w:tab w:val="num" w:pos="2041"/>
      </w:tabs>
      <w:spacing w:after="120"/>
      <w:ind w:left="2041" w:right="680"/>
      <w:jc w:val="both"/>
    </w:pPr>
  </w:style>
  <w:style w:type="paragraph" w:styleId="Listaconnmeros4">
    <w:name w:val="List Number 4"/>
    <w:basedOn w:val="Normal"/>
    <w:rsid w:val="00BC4FD1"/>
    <w:pPr>
      <w:numPr>
        <w:ilvl w:val="3"/>
        <w:numId w:val="6"/>
      </w:numPr>
      <w:tabs>
        <w:tab w:val="clear" w:pos="1757"/>
        <w:tab w:val="num" w:pos="2381"/>
      </w:tabs>
      <w:spacing w:after="120"/>
      <w:ind w:left="2381" w:right="680"/>
      <w:jc w:val="both"/>
    </w:pPr>
  </w:style>
  <w:style w:type="paragraph" w:styleId="Listaconnmeros5">
    <w:name w:val="List Number 5"/>
    <w:basedOn w:val="Normal"/>
    <w:rsid w:val="00BC4FD1"/>
    <w:pPr>
      <w:numPr>
        <w:ilvl w:val="4"/>
        <w:numId w:val="6"/>
      </w:numPr>
      <w:tabs>
        <w:tab w:val="clear" w:pos="2041"/>
        <w:tab w:val="left" w:pos="2722"/>
      </w:tabs>
      <w:spacing w:after="120"/>
      <w:ind w:left="2721" w:right="680"/>
      <w:jc w:val="both"/>
    </w:pPr>
  </w:style>
  <w:style w:type="paragraph" w:customStyle="1" w:styleId="Num-ChapParagraph">
    <w:name w:val="Num-Chap Paragraph"/>
    <w:basedOn w:val="Textodecuerpo"/>
    <w:rsid w:val="00DB4443"/>
    <w:pPr>
      <w:tabs>
        <w:tab w:val="clear" w:pos="1701"/>
        <w:tab w:val="clear" w:pos="2041"/>
      </w:tabs>
      <w:ind w:firstLine="0"/>
    </w:pPr>
  </w:style>
  <w:style w:type="paragraph" w:customStyle="1" w:styleId="Num-DocParagraph">
    <w:name w:val="Num-Doc Paragraph"/>
    <w:basedOn w:val="Textodecuerpo"/>
    <w:link w:val="Num-DocParagraphChar"/>
    <w:qFormat/>
    <w:rsid w:val="00DB4443"/>
    <w:pPr>
      <w:ind w:firstLine="0"/>
    </w:pPr>
  </w:style>
  <w:style w:type="paragraph" w:customStyle="1" w:styleId="PartHeading">
    <w:name w:val="Part Heading"/>
    <w:basedOn w:val="Normal"/>
    <w:next w:val="Textodecuerpo"/>
    <w:rsid w:val="00BC4FD1"/>
    <w:pPr>
      <w:keepNext/>
      <w:spacing w:before="1200" w:after="720"/>
      <w:jc w:val="center"/>
    </w:pPr>
    <w:rPr>
      <w:b/>
      <w:bCs/>
      <w:sz w:val="28"/>
      <w:szCs w:val="28"/>
    </w:rPr>
  </w:style>
  <w:style w:type="paragraph" w:customStyle="1" w:styleId="SummaryHeading">
    <w:name w:val="Summary Heading"/>
    <w:basedOn w:val="Normal"/>
    <w:next w:val="Textodecuerpo"/>
    <w:rsid w:val="00BC4FD1"/>
    <w:pPr>
      <w:keepNext/>
      <w:spacing w:before="1200" w:after="720"/>
      <w:jc w:val="center"/>
    </w:pPr>
    <w:rPr>
      <w:b/>
      <w:bCs/>
      <w:sz w:val="28"/>
      <w:szCs w:val="28"/>
    </w:rPr>
  </w:style>
  <w:style w:type="paragraph" w:customStyle="1" w:styleId="TableofContentsHeading">
    <w:name w:val="Table of Contents Heading"/>
    <w:basedOn w:val="Normal"/>
    <w:next w:val="Textodecuerpo"/>
    <w:rsid w:val="00BC4FD1"/>
    <w:pPr>
      <w:keepNext/>
      <w:spacing w:before="1200" w:after="720"/>
      <w:jc w:val="center"/>
    </w:pPr>
    <w:rPr>
      <w:bCs/>
      <w:i/>
      <w:sz w:val="32"/>
      <w:szCs w:val="32"/>
    </w:rPr>
  </w:style>
  <w:style w:type="paragraph" w:styleId="TDC1">
    <w:name w:val="toc 1"/>
    <w:basedOn w:val="Normal"/>
    <w:next w:val="Normal"/>
    <w:uiPriority w:val="39"/>
    <w:qFormat/>
    <w:rsid w:val="00BC4FD1"/>
    <w:pPr>
      <w:tabs>
        <w:tab w:val="right" w:leader="dot" w:pos="6803"/>
      </w:tabs>
      <w:spacing w:before="120" w:after="120"/>
      <w:jc w:val="both"/>
    </w:pPr>
    <w:rPr>
      <w:b/>
    </w:rPr>
  </w:style>
  <w:style w:type="paragraph" w:styleId="TDC2">
    <w:name w:val="toc 2"/>
    <w:basedOn w:val="Normal"/>
    <w:next w:val="Normal"/>
    <w:uiPriority w:val="39"/>
    <w:qFormat/>
    <w:rsid w:val="00BC4FD1"/>
    <w:pPr>
      <w:tabs>
        <w:tab w:val="right" w:leader="dot" w:pos="6803"/>
      </w:tabs>
      <w:ind w:left="198"/>
      <w:jc w:val="both"/>
    </w:pPr>
  </w:style>
  <w:style w:type="paragraph" w:styleId="TDC3">
    <w:name w:val="toc 3"/>
    <w:basedOn w:val="Normal"/>
    <w:next w:val="Normal"/>
    <w:qFormat/>
    <w:rsid w:val="00BC4FD1"/>
    <w:pPr>
      <w:tabs>
        <w:tab w:val="right" w:leader="dot" w:pos="6803"/>
      </w:tabs>
      <w:ind w:left="397"/>
      <w:jc w:val="both"/>
    </w:pPr>
  </w:style>
  <w:style w:type="paragraph" w:styleId="TDC4">
    <w:name w:val="toc 4"/>
    <w:basedOn w:val="Normal"/>
    <w:next w:val="Normal"/>
    <w:qFormat/>
    <w:rsid w:val="00BC4FD1"/>
    <w:pPr>
      <w:tabs>
        <w:tab w:val="right" w:leader="dot" w:pos="6803"/>
      </w:tabs>
      <w:ind w:left="595"/>
      <w:jc w:val="both"/>
    </w:pPr>
    <w:rPr>
      <w:noProof/>
    </w:rPr>
  </w:style>
  <w:style w:type="paragraph" w:styleId="TDC5">
    <w:name w:val="toc 5"/>
    <w:basedOn w:val="Normal"/>
    <w:next w:val="Normal"/>
    <w:qFormat/>
    <w:rsid w:val="00BC4FD1"/>
    <w:pPr>
      <w:tabs>
        <w:tab w:val="right" w:leader="dot" w:pos="6803"/>
      </w:tabs>
      <w:ind w:left="794"/>
      <w:jc w:val="both"/>
    </w:pPr>
    <w:rPr>
      <w:noProof/>
    </w:rPr>
  </w:style>
  <w:style w:type="paragraph" w:customStyle="1" w:styleId="Abstract">
    <w:name w:val="Abstract"/>
    <w:basedOn w:val="Normal"/>
    <w:rsid w:val="00BC4FD1"/>
    <w:pPr>
      <w:pBdr>
        <w:top w:val="single" w:sz="4" w:space="12" w:color="auto"/>
        <w:left w:val="single" w:sz="4" w:space="12" w:color="auto"/>
        <w:bottom w:val="single" w:sz="4" w:space="12" w:color="auto"/>
        <w:right w:val="single" w:sz="4" w:space="12" w:color="auto"/>
      </w:pBdr>
      <w:tabs>
        <w:tab w:val="left" w:pos="1758"/>
      </w:tabs>
      <w:spacing w:after="120"/>
      <w:ind w:left="680" w:right="680"/>
      <w:jc w:val="both"/>
    </w:pPr>
    <w:rPr>
      <w:i/>
      <w:lang w:val="en-US"/>
    </w:rPr>
  </w:style>
  <w:style w:type="paragraph" w:customStyle="1" w:styleId="Author">
    <w:name w:val="Author"/>
    <w:basedOn w:val="Textodecuerpo"/>
    <w:link w:val="AuthorChar"/>
    <w:rsid w:val="00BC4FD1"/>
    <w:pPr>
      <w:ind w:firstLine="0"/>
      <w:jc w:val="center"/>
    </w:pPr>
    <w:rPr>
      <w:sz w:val="24"/>
      <w:szCs w:val="24"/>
    </w:rPr>
  </w:style>
  <w:style w:type="paragraph" w:customStyle="1" w:styleId="Citation">
    <w:name w:val="Citation"/>
    <w:basedOn w:val="Textodecuerpo"/>
    <w:link w:val="CitationChar"/>
    <w:rsid w:val="00BC4FD1"/>
    <w:pPr>
      <w:ind w:left="1021" w:right="1021" w:firstLine="0"/>
      <w:jc w:val="left"/>
    </w:pPr>
    <w:rPr>
      <w:i/>
    </w:rPr>
  </w:style>
  <w:style w:type="paragraph" w:customStyle="1" w:styleId="Chart">
    <w:name w:val="Chart"/>
    <w:basedOn w:val="Normal"/>
    <w:next w:val="Textodecuerpo"/>
    <w:rsid w:val="00BC4FD1"/>
    <w:pPr>
      <w:spacing w:after="240"/>
      <w:jc w:val="center"/>
    </w:pPr>
    <w:rPr>
      <w:lang w:val="en-US"/>
    </w:rPr>
  </w:style>
  <w:style w:type="paragraph" w:customStyle="1" w:styleId="ChartSub-title">
    <w:name w:val="Chart Sub-title"/>
    <w:basedOn w:val="Normal"/>
    <w:rsid w:val="00BC4FD1"/>
    <w:pPr>
      <w:keepNext/>
      <w:spacing w:after="120"/>
      <w:jc w:val="center"/>
    </w:pPr>
    <w:rPr>
      <w:rFonts w:cs="Arial"/>
      <w:sz w:val="18"/>
      <w:szCs w:val="18"/>
      <w:lang w:val="en-US"/>
    </w:rPr>
  </w:style>
  <w:style w:type="paragraph" w:customStyle="1" w:styleId="ChartTitle">
    <w:name w:val="Chart Title"/>
    <w:basedOn w:val="Normal"/>
    <w:next w:val="ChartSub-title"/>
    <w:rsid w:val="00BC4FD1"/>
    <w:pPr>
      <w:keepNext/>
      <w:spacing w:after="120"/>
      <w:jc w:val="center"/>
    </w:pPr>
    <w:rPr>
      <w:rFonts w:cs="Arial"/>
      <w:b/>
      <w:sz w:val="20"/>
      <w:szCs w:val="20"/>
      <w:lang w:val="en-US"/>
    </w:rPr>
  </w:style>
  <w:style w:type="paragraph" w:customStyle="1" w:styleId="ChartNote">
    <w:name w:val="Chart Note"/>
    <w:basedOn w:val="Normal"/>
    <w:rsid w:val="00A54F78"/>
    <w:pPr>
      <w:spacing w:after="120"/>
      <w:ind w:left="680" w:right="680"/>
      <w:jc w:val="both"/>
    </w:pPr>
    <w:rPr>
      <w:rFonts w:cs="Arial"/>
      <w:sz w:val="18"/>
      <w:szCs w:val="18"/>
      <w:lang w:val="en-US"/>
    </w:rPr>
  </w:style>
  <w:style w:type="paragraph" w:customStyle="1" w:styleId="BoxHeading2">
    <w:name w:val="Box Heading 2"/>
    <w:basedOn w:val="Normal"/>
    <w:next w:val="BoxBodyText"/>
    <w:rsid w:val="00BC4FD1"/>
    <w:pPr>
      <w:spacing w:before="240" w:after="120"/>
    </w:pPr>
    <w:rPr>
      <w:rFonts w:cs="Arial"/>
      <w:b/>
      <w:sz w:val="21"/>
      <w:szCs w:val="21"/>
      <w:lang w:val="en-US"/>
    </w:rPr>
  </w:style>
  <w:style w:type="paragraph" w:customStyle="1" w:styleId="BoxHeading3">
    <w:name w:val="Box Heading 3"/>
    <w:basedOn w:val="Normal"/>
    <w:next w:val="BoxBodyText"/>
    <w:rsid w:val="00BC4FD1"/>
    <w:pPr>
      <w:spacing w:before="120" w:after="120"/>
    </w:pPr>
    <w:rPr>
      <w:rFonts w:cs="Arial"/>
      <w:b/>
      <w:i/>
      <w:sz w:val="21"/>
      <w:szCs w:val="21"/>
      <w:lang w:val="en-US"/>
    </w:rPr>
  </w:style>
  <w:style w:type="paragraph" w:customStyle="1" w:styleId="BoxNote">
    <w:name w:val="Box Note"/>
    <w:basedOn w:val="Normal"/>
    <w:rsid w:val="00152644"/>
    <w:pPr>
      <w:tabs>
        <w:tab w:val="left" w:pos="340"/>
      </w:tabs>
      <w:spacing w:after="120"/>
      <w:jc w:val="both"/>
    </w:pPr>
    <w:rPr>
      <w:rFonts w:cs="Arial"/>
      <w:sz w:val="18"/>
      <w:szCs w:val="18"/>
      <w:lang w:val="en-US"/>
    </w:rPr>
  </w:style>
  <w:style w:type="paragraph" w:customStyle="1" w:styleId="ListBulletBox">
    <w:name w:val="List Bullet Box"/>
    <w:basedOn w:val="Normal"/>
    <w:rsid w:val="00BC4FD1"/>
    <w:pPr>
      <w:numPr>
        <w:numId w:val="7"/>
      </w:numPr>
      <w:spacing w:after="120"/>
      <w:jc w:val="both"/>
    </w:pPr>
    <w:rPr>
      <w:rFonts w:cs="Arial"/>
      <w:sz w:val="20"/>
      <w:szCs w:val="20"/>
      <w:lang w:val="en-US"/>
    </w:rPr>
  </w:style>
  <w:style w:type="paragraph" w:customStyle="1" w:styleId="ListBulletBox2">
    <w:name w:val="List Bullet Box 2"/>
    <w:basedOn w:val="Normal"/>
    <w:rsid w:val="00BC4FD1"/>
    <w:pPr>
      <w:numPr>
        <w:numId w:val="8"/>
      </w:numPr>
      <w:tabs>
        <w:tab w:val="clear" w:pos="1191"/>
      </w:tabs>
      <w:spacing w:after="120"/>
      <w:ind w:left="1020"/>
      <w:jc w:val="both"/>
    </w:pPr>
    <w:rPr>
      <w:rFonts w:cs="Arial"/>
      <w:sz w:val="20"/>
      <w:szCs w:val="20"/>
      <w:lang w:val="en-US"/>
    </w:rPr>
  </w:style>
  <w:style w:type="paragraph" w:customStyle="1" w:styleId="ListBulletBox3">
    <w:name w:val="List Bullet Box 3"/>
    <w:basedOn w:val="Normal"/>
    <w:rsid w:val="00BC4FD1"/>
    <w:pPr>
      <w:numPr>
        <w:numId w:val="9"/>
      </w:numPr>
      <w:tabs>
        <w:tab w:val="clear" w:pos="1474"/>
      </w:tabs>
      <w:spacing w:after="120"/>
      <w:ind w:left="1361"/>
      <w:jc w:val="both"/>
    </w:pPr>
    <w:rPr>
      <w:rFonts w:cs="Arial"/>
      <w:sz w:val="20"/>
      <w:szCs w:val="20"/>
      <w:lang w:val="en-US"/>
    </w:rPr>
  </w:style>
  <w:style w:type="paragraph" w:customStyle="1" w:styleId="ListNumberBox">
    <w:name w:val="List Number Box"/>
    <w:basedOn w:val="Normal"/>
    <w:rsid w:val="00BC4FD1"/>
    <w:pPr>
      <w:numPr>
        <w:numId w:val="10"/>
      </w:numPr>
      <w:tabs>
        <w:tab w:val="clear" w:pos="1950"/>
      </w:tabs>
      <w:spacing w:after="120"/>
      <w:ind w:left="680" w:hanging="340"/>
      <w:jc w:val="both"/>
    </w:pPr>
    <w:rPr>
      <w:rFonts w:cs="Arial"/>
      <w:sz w:val="20"/>
      <w:szCs w:val="20"/>
      <w:lang w:val="en-US"/>
    </w:rPr>
  </w:style>
  <w:style w:type="paragraph" w:customStyle="1" w:styleId="ListNumberBox2">
    <w:name w:val="List Number Box 2"/>
    <w:basedOn w:val="Normal"/>
    <w:rsid w:val="00BC4FD1"/>
    <w:pPr>
      <w:numPr>
        <w:ilvl w:val="1"/>
        <w:numId w:val="10"/>
      </w:numPr>
      <w:tabs>
        <w:tab w:val="clear" w:pos="2291"/>
      </w:tabs>
      <w:spacing w:after="120"/>
      <w:ind w:left="1020" w:hanging="340"/>
      <w:jc w:val="both"/>
    </w:pPr>
    <w:rPr>
      <w:rFonts w:cs="Arial"/>
      <w:sz w:val="20"/>
      <w:szCs w:val="20"/>
      <w:lang w:val="en-US"/>
    </w:rPr>
  </w:style>
  <w:style w:type="paragraph" w:customStyle="1" w:styleId="ListNumberBox3">
    <w:name w:val="List Number Box 3"/>
    <w:basedOn w:val="Normal"/>
    <w:rsid w:val="00BC4FD1"/>
    <w:pPr>
      <w:numPr>
        <w:ilvl w:val="2"/>
        <w:numId w:val="10"/>
      </w:numPr>
      <w:tabs>
        <w:tab w:val="clear" w:pos="2574"/>
      </w:tabs>
      <w:spacing w:after="120"/>
      <w:ind w:left="1361"/>
      <w:jc w:val="both"/>
    </w:pPr>
    <w:rPr>
      <w:rFonts w:cs="Arial"/>
      <w:sz w:val="20"/>
      <w:szCs w:val="20"/>
      <w:lang w:val="en-US"/>
    </w:rPr>
  </w:style>
  <w:style w:type="paragraph" w:customStyle="1" w:styleId="ListContinueBox">
    <w:name w:val="List Continue Box"/>
    <w:basedOn w:val="Normal"/>
    <w:rsid w:val="00BC4FD1"/>
    <w:pPr>
      <w:spacing w:after="120"/>
      <w:ind w:left="340"/>
      <w:jc w:val="both"/>
    </w:pPr>
    <w:rPr>
      <w:rFonts w:cs="Arial"/>
      <w:sz w:val="20"/>
      <w:szCs w:val="20"/>
      <w:lang w:val="en-US"/>
    </w:rPr>
  </w:style>
  <w:style w:type="paragraph" w:customStyle="1" w:styleId="ListContinueBox2">
    <w:name w:val="List Continue Box 2"/>
    <w:basedOn w:val="Normal"/>
    <w:rsid w:val="00BC4FD1"/>
    <w:pPr>
      <w:spacing w:after="120"/>
      <w:ind w:left="680"/>
      <w:jc w:val="both"/>
    </w:pPr>
    <w:rPr>
      <w:rFonts w:cs="Arial"/>
      <w:sz w:val="20"/>
      <w:szCs w:val="20"/>
      <w:lang w:val="en-US"/>
    </w:rPr>
  </w:style>
  <w:style w:type="paragraph" w:customStyle="1" w:styleId="ListContinueBox3">
    <w:name w:val="List Continue Box 3"/>
    <w:basedOn w:val="Normal"/>
    <w:rsid w:val="00BC4FD1"/>
    <w:pPr>
      <w:spacing w:after="120"/>
      <w:ind w:left="1021"/>
      <w:jc w:val="both"/>
    </w:pPr>
    <w:rPr>
      <w:rFonts w:cs="Arial"/>
      <w:sz w:val="20"/>
      <w:szCs w:val="20"/>
      <w:lang w:val="en-US"/>
    </w:rPr>
  </w:style>
  <w:style w:type="paragraph" w:customStyle="1" w:styleId="BoxSource">
    <w:name w:val="Box Source"/>
    <w:basedOn w:val="Normal"/>
    <w:next w:val="Textodecuerpo"/>
    <w:rsid w:val="00152644"/>
    <w:pPr>
      <w:spacing w:after="360"/>
      <w:jc w:val="both"/>
    </w:pPr>
    <w:rPr>
      <w:rFonts w:cs="Arial"/>
      <w:sz w:val="18"/>
      <w:szCs w:val="18"/>
      <w:lang w:val="en-US"/>
    </w:rPr>
  </w:style>
  <w:style w:type="character" w:customStyle="1" w:styleId="Cote">
    <w:name w:val="Cote"/>
    <w:basedOn w:val="Fuentedeprrafopredeter"/>
    <w:rsid w:val="00BC4FD1"/>
    <w:rPr>
      <w:caps/>
      <w:lang w:val="en-US"/>
    </w:rPr>
  </w:style>
  <w:style w:type="paragraph" w:customStyle="1" w:styleId="AcknowledgementHeading">
    <w:name w:val="Acknowledgement Heading"/>
    <w:basedOn w:val="Normal"/>
    <w:next w:val="Textodecuerpo"/>
    <w:rsid w:val="00BC4FD1"/>
    <w:pPr>
      <w:keepNext/>
      <w:spacing w:before="1200" w:after="720"/>
      <w:jc w:val="center"/>
    </w:pPr>
    <w:rPr>
      <w:b/>
      <w:caps/>
      <w:lang w:val="en-US"/>
    </w:rPr>
  </w:style>
  <w:style w:type="paragraph" w:styleId="Encabezado">
    <w:name w:val="header"/>
    <w:basedOn w:val="Normal"/>
    <w:link w:val="EncabezadoCar"/>
    <w:rsid w:val="00BC4FD1"/>
    <w:pPr>
      <w:tabs>
        <w:tab w:val="center" w:pos="4321"/>
        <w:tab w:val="right" w:pos="8641"/>
      </w:tabs>
    </w:pPr>
    <w:rPr>
      <w:caps/>
      <w:sz w:val="14"/>
      <w:szCs w:val="14"/>
    </w:rPr>
  </w:style>
  <w:style w:type="paragraph" w:styleId="Piedepgina">
    <w:name w:val="footer"/>
    <w:basedOn w:val="Normal"/>
    <w:link w:val="PiedepginaCar"/>
    <w:rsid w:val="00BC4FD1"/>
    <w:pPr>
      <w:tabs>
        <w:tab w:val="center" w:pos="4321"/>
        <w:tab w:val="right" w:pos="8641"/>
      </w:tabs>
    </w:pPr>
    <w:rPr>
      <w:caps/>
      <w:sz w:val="12"/>
      <w:szCs w:val="12"/>
    </w:rPr>
  </w:style>
  <w:style w:type="paragraph" w:styleId="Sangradetdecuerpo">
    <w:name w:val="Body Text Indent"/>
    <w:basedOn w:val="Textodecuerpo"/>
    <w:link w:val="SangradetdecuerpoCar"/>
    <w:autoRedefine/>
    <w:rsid w:val="00BC4FD1"/>
    <w:pPr>
      <w:ind w:left="1021" w:firstLine="0"/>
    </w:pPr>
  </w:style>
  <w:style w:type="paragraph" w:customStyle="1" w:styleId="BoxBodyText">
    <w:name w:val="Box Body Text"/>
    <w:basedOn w:val="Normal"/>
    <w:link w:val="BoxBodyTextChar"/>
    <w:autoRedefine/>
    <w:rsid w:val="003C68EE"/>
    <w:pPr>
      <w:framePr w:hSpace="180" w:wrap="around" w:vAnchor="text" w:hAnchor="margin" w:xAlign="center" w:y="230"/>
      <w:spacing w:after="120"/>
      <w:ind w:firstLine="340"/>
      <w:jc w:val="both"/>
    </w:pPr>
    <w:rPr>
      <w:rFonts w:cs="Arial"/>
      <w:sz w:val="20"/>
      <w:szCs w:val="20"/>
      <w:lang w:val="en-US"/>
    </w:rPr>
  </w:style>
  <w:style w:type="paragraph" w:customStyle="1" w:styleId="BoxBodyTextIndent">
    <w:name w:val="Box Body Text Indent"/>
    <w:basedOn w:val="Normal"/>
    <w:autoRedefine/>
    <w:rsid w:val="004A6007"/>
    <w:pPr>
      <w:spacing w:after="120"/>
      <w:ind w:left="340"/>
      <w:jc w:val="both"/>
    </w:pPr>
    <w:rPr>
      <w:rFonts w:cs="Arial"/>
      <w:sz w:val="20"/>
      <w:szCs w:val="20"/>
      <w:lang w:val="en-US"/>
    </w:rPr>
  </w:style>
  <w:style w:type="character" w:styleId="Nmerodepgina">
    <w:name w:val="page number"/>
    <w:basedOn w:val="Fuentedeprrafopredeter"/>
    <w:uiPriority w:val="99"/>
    <w:rsid w:val="00BC4FD1"/>
  </w:style>
  <w:style w:type="character" w:customStyle="1" w:styleId="TextodecuerpoCar">
    <w:name w:val="Texto de cuerpo Car"/>
    <w:basedOn w:val="Fuentedeprrafopredeter"/>
    <w:link w:val="Textodecuerpo"/>
    <w:rsid w:val="00BC4FD1"/>
    <w:rPr>
      <w:sz w:val="22"/>
      <w:szCs w:val="22"/>
      <w:lang w:val="en-US" w:eastAsia="en-US" w:bidi="ar-SA"/>
    </w:rPr>
  </w:style>
  <w:style w:type="character" w:customStyle="1" w:styleId="AuthorChar">
    <w:name w:val="Author Char"/>
    <w:basedOn w:val="TextodecuerpoCar"/>
    <w:link w:val="Author"/>
    <w:rsid w:val="00BC4FD1"/>
    <w:rPr>
      <w:sz w:val="24"/>
      <w:szCs w:val="24"/>
      <w:lang w:val="en-US" w:eastAsia="en-US" w:bidi="ar-SA"/>
    </w:rPr>
  </w:style>
  <w:style w:type="character" w:customStyle="1" w:styleId="Continuarlista2Car">
    <w:name w:val="Continuar lista 2 Car"/>
    <w:basedOn w:val="Fuentedeprrafopredeter"/>
    <w:link w:val="Continuarlista2"/>
    <w:rsid w:val="00BC4FD1"/>
    <w:rPr>
      <w:sz w:val="22"/>
      <w:szCs w:val="22"/>
      <w:lang w:val="en-GB" w:eastAsia="en-US" w:bidi="ar-SA"/>
    </w:rPr>
  </w:style>
  <w:style w:type="character" w:customStyle="1" w:styleId="ForewordHeadingChar">
    <w:name w:val="Foreword Heading Char"/>
    <w:basedOn w:val="Fuentedeprrafopredeter"/>
    <w:link w:val="ForewordHeading"/>
    <w:rsid w:val="00BC4FD1"/>
    <w:rPr>
      <w:bCs/>
      <w:i/>
      <w:sz w:val="32"/>
      <w:szCs w:val="32"/>
      <w:lang w:val="en-GB" w:eastAsia="en-US" w:bidi="ar-SA"/>
    </w:rPr>
  </w:style>
  <w:style w:type="paragraph" w:customStyle="1" w:styleId="ExecSumheading2">
    <w:name w:val="Exec Sum heading 2"/>
    <w:basedOn w:val="Textodecuerpo"/>
    <w:rsid w:val="00BC4FD1"/>
    <w:pPr>
      <w:pBdr>
        <w:top w:val="single" w:sz="4" w:space="3" w:color="auto"/>
        <w:bottom w:val="single" w:sz="4" w:space="5" w:color="auto"/>
      </w:pBdr>
      <w:spacing w:before="240" w:line="240" w:lineRule="exact"/>
      <w:ind w:left="0" w:right="5387" w:firstLine="0"/>
      <w:jc w:val="left"/>
    </w:pPr>
    <w:rPr>
      <w:i/>
      <w:sz w:val="21"/>
      <w:szCs w:val="21"/>
    </w:rPr>
  </w:style>
  <w:style w:type="character" w:customStyle="1" w:styleId="Ttulo6Car">
    <w:name w:val="Título 6 Car"/>
    <w:basedOn w:val="Fuentedeprrafopredeter"/>
    <w:link w:val="Ttulo6"/>
    <w:rsid w:val="00473421"/>
    <w:rPr>
      <w:b/>
      <w:bCs/>
      <w:sz w:val="22"/>
      <w:szCs w:val="22"/>
      <w:lang w:val="en-GB" w:eastAsia="zh-CN"/>
    </w:rPr>
  </w:style>
  <w:style w:type="character" w:customStyle="1" w:styleId="Ttulo7Car">
    <w:name w:val="Título 7 Car"/>
    <w:basedOn w:val="Fuentedeprrafopredeter"/>
    <w:link w:val="Ttulo7"/>
    <w:rsid w:val="00473421"/>
    <w:rPr>
      <w:sz w:val="24"/>
      <w:szCs w:val="24"/>
      <w:lang w:val="en-GB" w:eastAsia="zh-CN"/>
    </w:rPr>
  </w:style>
  <w:style w:type="character" w:customStyle="1" w:styleId="Ttulo8Car">
    <w:name w:val="Título 8 Car"/>
    <w:basedOn w:val="Fuentedeprrafopredeter"/>
    <w:link w:val="Ttulo8"/>
    <w:rsid w:val="00473421"/>
    <w:rPr>
      <w:i/>
      <w:iCs/>
      <w:sz w:val="24"/>
      <w:szCs w:val="24"/>
      <w:lang w:val="en-GB" w:eastAsia="zh-CN"/>
    </w:rPr>
  </w:style>
  <w:style w:type="character" w:customStyle="1" w:styleId="Ttulo9Car">
    <w:name w:val="Título 9 Car"/>
    <w:basedOn w:val="Fuentedeprrafopredeter"/>
    <w:link w:val="Ttulo9"/>
    <w:rsid w:val="00473421"/>
    <w:rPr>
      <w:rFonts w:ascii="Arial" w:hAnsi="Arial" w:cs="Arial"/>
      <w:sz w:val="22"/>
      <w:szCs w:val="22"/>
      <w:lang w:val="en-GB" w:eastAsia="zh-CN"/>
    </w:rPr>
  </w:style>
  <w:style w:type="paragraph" w:customStyle="1" w:styleId="DefinitionList">
    <w:name w:val="Definition List"/>
    <w:basedOn w:val="Textodecuerpo"/>
    <w:rsid w:val="00473421"/>
    <w:pPr>
      <w:tabs>
        <w:tab w:val="clear" w:pos="1361"/>
        <w:tab w:val="clear" w:pos="1701"/>
        <w:tab w:val="clear" w:pos="2041"/>
      </w:tabs>
      <w:spacing w:after="240"/>
      <w:ind w:left="1984" w:right="0" w:hanging="1984"/>
      <w:jc w:val="center"/>
    </w:pPr>
    <w:rPr>
      <w:lang w:val="en-GB" w:eastAsia="zh-CN"/>
    </w:rPr>
  </w:style>
  <w:style w:type="character" w:styleId="Refdenotaalpie">
    <w:name w:val="footnote reference"/>
    <w:basedOn w:val="Fuentedeprrafopredeter"/>
    <w:uiPriority w:val="99"/>
    <w:rsid w:val="00473421"/>
    <w:rPr>
      <w:vertAlign w:val="superscript"/>
    </w:rPr>
  </w:style>
  <w:style w:type="paragraph" w:styleId="Textonotapie">
    <w:name w:val="footnote text"/>
    <w:basedOn w:val="Normal"/>
    <w:link w:val="TextonotapieCar"/>
    <w:uiPriority w:val="99"/>
    <w:rsid w:val="00473421"/>
    <w:pPr>
      <w:tabs>
        <w:tab w:val="left" w:pos="850"/>
        <w:tab w:val="left" w:pos="1191"/>
        <w:tab w:val="left" w:pos="1531"/>
      </w:tabs>
      <w:spacing w:after="120"/>
      <w:ind w:left="850" w:hanging="850"/>
      <w:jc w:val="both"/>
    </w:pPr>
    <w:rPr>
      <w:sz w:val="20"/>
      <w:szCs w:val="20"/>
      <w:lang w:eastAsia="zh-CN"/>
    </w:rPr>
  </w:style>
  <w:style w:type="character" w:customStyle="1" w:styleId="TextonotapieCar">
    <w:name w:val="Texto nota pie Car"/>
    <w:basedOn w:val="Fuentedeprrafopredeter"/>
    <w:link w:val="Textonotapie"/>
    <w:uiPriority w:val="99"/>
    <w:rsid w:val="00473421"/>
    <w:rPr>
      <w:lang w:val="en-GB" w:eastAsia="zh-CN"/>
    </w:rPr>
  </w:style>
  <w:style w:type="paragraph" w:customStyle="1" w:styleId="HighlightHeading">
    <w:name w:val="Highlight Heading"/>
    <w:basedOn w:val="Normal"/>
    <w:next w:val="Textodecuerpo"/>
    <w:rsid w:val="00473421"/>
    <w:pPr>
      <w:keepNext/>
      <w:tabs>
        <w:tab w:val="left" w:pos="850"/>
        <w:tab w:val="left" w:pos="1191"/>
        <w:tab w:val="left" w:pos="1531"/>
      </w:tabs>
      <w:spacing w:before="1200" w:after="720"/>
      <w:jc w:val="center"/>
    </w:pPr>
    <w:rPr>
      <w:b/>
      <w:bCs/>
      <w:caps/>
      <w:lang w:eastAsia="zh-CN"/>
    </w:rPr>
  </w:style>
  <w:style w:type="paragraph" w:customStyle="1" w:styleId="SubHeading">
    <w:name w:val="SubHeading"/>
    <w:basedOn w:val="Textodecuerpo"/>
    <w:rsid w:val="00473421"/>
    <w:pPr>
      <w:tabs>
        <w:tab w:val="clear" w:pos="1361"/>
        <w:tab w:val="clear" w:pos="1701"/>
        <w:tab w:val="clear" w:pos="2041"/>
        <w:tab w:val="left" w:pos="850"/>
        <w:tab w:val="left" w:pos="1191"/>
        <w:tab w:val="left" w:pos="1531"/>
      </w:tabs>
      <w:spacing w:after="240"/>
      <w:ind w:left="442" w:right="0" w:firstLine="0"/>
    </w:pPr>
    <w:rPr>
      <w:i/>
      <w:iCs/>
      <w:lang w:val="en-GB" w:eastAsia="zh-CN"/>
    </w:rPr>
  </w:style>
  <w:style w:type="paragraph" w:customStyle="1" w:styleId="TextBox">
    <w:name w:val="Text Box"/>
    <w:basedOn w:val="Textodecuerpo"/>
    <w:rsid w:val="00473421"/>
    <w:pPr>
      <w:pBdr>
        <w:top w:val="single" w:sz="6" w:space="1" w:color="auto"/>
        <w:left w:val="single" w:sz="6" w:space="1" w:color="auto"/>
        <w:bottom w:val="single" w:sz="6" w:space="1" w:color="auto"/>
        <w:right w:val="single" w:sz="6" w:space="1" w:color="auto"/>
      </w:pBdr>
      <w:tabs>
        <w:tab w:val="clear" w:pos="1361"/>
        <w:tab w:val="clear" w:pos="1701"/>
        <w:tab w:val="clear" w:pos="2041"/>
        <w:tab w:val="left" w:pos="850"/>
        <w:tab w:val="left" w:pos="1191"/>
        <w:tab w:val="left" w:pos="1531"/>
      </w:tabs>
      <w:spacing w:after="240"/>
      <w:ind w:left="0" w:right="0" w:firstLine="0"/>
    </w:pPr>
    <w:rPr>
      <w:rFonts w:ascii="Arial" w:hAnsi="Arial" w:cs="Arial"/>
      <w:sz w:val="18"/>
      <w:lang w:val="en-GB" w:eastAsia="zh-CN"/>
    </w:rPr>
  </w:style>
  <w:style w:type="paragraph" w:customStyle="1" w:styleId="TextBoxHeading">
    <w:name w:val="Text Box Heading"/>
    <w:basedOn w:val="TextBox"/>
    <w:next w:val="TextBox"/>
    <w:rsid w:val="00473421"/>
    <w:pPr>
      <w:jc w:val="center"/>
    </w:pPr>
    <w:rPr>
      <w:b/>
      <w:bCs/>
    </w:rPr>
  </w:style>
  <w:style w:type="paragraph" w:customStyle="1" w:styleId="IndexHeading1">
    <w:name w:val="Index Heading1"/>
    <w:basedOn w:val="Normal"/>
    <w:next w:val="Textodecuerpo"/>
    <w:rsid w:val="00473421"/>
    <w:pPr>
      <w:keepNext/>
      <w:tabs>
        <w:tab w:val="left" w:pos="850"/>
        <w:tab w:val="left" w:pos="1191"/>
        <w:tab w:val="left" w:pos="1531"/>
      </w:tabs>
      <w:spacing w:before="1200" w:after="720"/>
      <w:jc w:val="center"/>
    </w:pPr>
    <w:rPr>
      <w:b/>
      <w:caps/>
      <w:lang w:val="en-US" w:eastAsia="zh-CN"/>
    </w:rPr>
  </w:style>
  <w:style w:type="paragraph" w:styleId="Textodebloque">
    <w:name w:val="Block Text"/>
    <w:basedOn w:val="Normal"/>
    <w:rsid w:val="00473421"/>
    <w:pPr>
      <w:tabs>
        <w:tab w:val="left" w:pos="850"/>
        <w:tab w:val="left" w:pos="1191"/>
        <w:tab w:val="left" w:pos="1531"/>
      </w:tabs>
      <w:spacing w:after="120"/>
      <w:ind w:left="1440" w:right="1440"/>
      <w:jc w:val="both"/>
    </w:pPr>
    <w:rPr>
      <w:lang w:eastAsia="zh-CN"/>
    </w:rPr>
  </w:style>
  <w:style w:type="paragraph" w:styleId="TDC9">
    <w:name w:val="toc 9"/>
    <w:basedOn w:val="Normal"/>
    <w:next w:val="Normal"/>
    <w:qFormat/>
    <w:rsid w:val="00473421"/>
    <w:pPr>
      <w:ind w:left="1760"/>
      <w:jc w:val="both"/>
    </w:pPr>
    <w:rPr>
      <w:lang w:eastAsia="zh-CN"/>
    </w:rPr>
  </w:style>
  <w:style w:type="numbering" w:customStyle="1" w:styleId="NumberedNote">
    <w:name w:val="Numbered Note"/>
    <w:basedOn w:val="Sinlista"/>
    <w:rsid w:val="00473421"/>
    <w:pPr>
      <w:numPr>
        <w:numId w:val="11"/>
      </w:numPr>
    </w:pPr>
  </w:style>
  <w:style w:type="numbering" w:customStyle="1" w:styleId="BulletedNote">
    <w:name w:val="Bulleted Note"/>
    <w:basedOn w:val="Sinlista"/>
    <w:rsid w:val="00473421"/>
    <w:pPr>
      <w:numPr>
        <w:numId w:val="12"/>
      </w:numPr>
    </w:pPr>
  </w:style>
  <w:style w:type="numbering" w:customStyle="1" w:styleId="NumericNote">
    <w:name w:val="Numeric Note"/>
    <w:basedOn w:val="Sinlista"/>
    <w:rsid w:val="00473421"/>
    <w:pPr>
      <w:numPr>
        <w:numId w:val="13"/>
      </w:numPr>
    </w:pPr>
  </w:style>
  <w:style w:type="numbering" w:customStyle="1" w:styleId="AlphaNote">
    <w:name w:val="Alpha Note"/>
    <w:basedOn w:val="Sinlista"/>
    <w:rsid w:val="00473421"/>
    <w:pPr>
      <w:numPr>
        <w:numId w:val="14"/>
      </w:numPr>
    </w:pPr>
  </w:style>
  <w:style w:type="paragraph" w:styleId="Direccindesobre">
    <w:name w:val="envelope address"/>
    <w:basedOn w:val="Normal"/>
    <w:rsid w:val="00473421"/>
    <w:pPr>
      <w:framePr w:w="7938" w:h="1985" w:hRule="exact" w:hSpace="141" w:wrap="auto" w:hAnchor="page" w:xAlign="center" w:yAlign="bottom"/>
      <w:tabs>
        <w:tab w:val="left" w:pos="850"/>
        <w:tab w:val="left" w:pos="1191"/>
        <w:tab w:val="left" w:pos="1531"/>
      </w:tabs>
      <w:ind w:left="2835"/>
      <w:jc w:val="both"/>
    </w:pPr>
    <w:rPr>
      <w:rFonts w:ascii="Arial" w:hAnsi="Arial" w:cs="Arial"/>
      <w:sz w:val="24"/>
      <w:szCs w:val="24"/>
      <w:lang w:eastAsia="zh-CN"/>
    </w:rPr>
  </w:style>
  <w:style w:type="paragraph" w:styleId="Remitedesobre">
    <w:name w:val="envelope return"/>
    <w:basedOn w:val="Normal"/>
    <w:rsid w:val="00473421"/>
    <w:pPr>
      <w:tabs>
        <w:tab w:val="left" w:pos="850"/>
        <w:tab w:val="left" w:pos="1191"/>
        <w:tab w:val="left" w:pos="1531"/>
      </w:tabs>
      <w:jc w:val="both"/>
    </w:pPr>
    <w:rPr>
      <w:rFonts w:ascii="Arial" w:hAnsi="Arial" w:cs="Arial"/>
      <w:sz w:val="20"/>
      <w:szCs w:val="20"/>
      <w:lang w:eastAsia="zh-CN"/>
    </w:rPr>
  </w:style>
  <w:style w:type="paragraph" w:styleId="DireccinHTML">
    <w:name w:val="HTML Address"/>
    <w:basedOn w:val="Normal"/>
    <w:link w:val="DireccinHTMLCar"/>
    <w:rsid w:val="00473421"/>
    <w:pPr>
      <w:tabs>
        <w:tab w:val="left" w:pos="850"/>
        <w:tab w:val="left" w:pos="1191"/>
        <w:tab w:val="left" w:pos="1531"/>
      </w:tabs>
      <w:jc w:val="both"/>
    </w:pPr>
    <w:rPr>
      <w:i/>
      <w:iCs/>
      <w:lang w:eastAsia="zh-CN"/>
    </w:rPr>
  </w:style>
  <w:style w:type="character" w:customStyle="1" w:styleId="DireccinHTMLCar">
    <w:name w:val="Dirección HTML Car"/>
    <w:basedOn w:val="Fuentedeprrafopredeter"/>
    <w:link w:val="DireccinHTML"/>
    <w:rsid w:val="00473421"/>
    <w:rPr>
      <w:i/>
      <w:iCs/>
      <w:sz w:val="22"/>
      <w:szCs w:val="22"/>
      <w:lang w:val="en-GB" w:eastAsia="zh-CN"/>
    </w:rPr>
  </w:style>
  <w:style w:type="paragraph" w:styleId="Textocomentario">
    <w:name w:val="annotation text"/>
    <w:basedOn w:val="Normal"/>
    <w:link w:val="TextocomentarioCar"/>
    <w:uiPriority w:val="99"/>
    <w:rsid w:val="00473421"/>
    <w:pPr>
      <w:tabs>
        <w:tab w:val="left" w:pos="850"/>
        <w:tab w:val="left" w:pos="1191"/>
        <w:tab w:val="left" w:pos="1531"/>
      </w:tabs>
      <w:jc w:val="both"/>
    </w:pPr>
    <w:rPr>
      <w:sz w:val="20"/>
      <w:szCs w:val="20"/>
      <w:lang w:eastAsia="zh-CN"/>
    </w:rPr>
  </w:style>
  <w:style w:type="character" w:customStyle="1" w:styleId="TextocomentarioCar">
    <w:name w:val="Texto comentario Car"/>
    <w:basedOn w:val="Fuentedeprrafopredeter"/>
    <w:link w:val="Textocomentario"/>
    <w:uiPriority w:val="99"/>
    <w:rsid w:val="00473421"/>
    <w:rPr>
      <w:lang w:val="en-GB" w:eastAsia="zh-CN"/>
    </w:rPr>
  </w:style>
  <w:style w:type="paragraph" w:styleId="Textodecuerpo2">
    <w:name w:val="Body Text 2"/>
    <w:basedOn w:val="Normal"/>
    <w:link w:val="Textodecuerpo2Car"/>
    <w:rsid w:val="00473421"/>
    <w:pPr>
      <w:tabs>
        <w:tab w:val="left" w:pos="850"/>
        <w:tab w:val="left" w:pos="1191"/>
        <w:tab w:val="left" w:pos="1531"/>
      </w:tabs>
      <w:spacing w:after="120" w:line="480" w:lineRule="auto"/>
      <w:jc w:val="both"/>
    </w:pPr>
    <w:rPr>
      <w:lang w:eastAsia="zh-CN"/>
    </w:rPr>
  </w:style>
  <w:style w:type="character" w:customStyle="1" w:styleId="Textodecuerpo2Car">
    <w:name w:val="Texto de cuerpo 2 Car"/>
    <w:basedOn w:val="Fuentedeprrafopredeter"/>
    <w:link w:val="Textodecuerpo2"/>
    <w:rsid w:val="00473421"/>
    <w:rPr>
      <w:sz w:val="22"/>
      <w:szCs w:val="22"/>
      <w:lang w:val="en-GB" w:eastAsia="zh-CN"/>
    </w:rPr>
  </w:style>
  <w:style w:type="paragraph" w:styleId="Textodecuerpo3">
    <w:name w:val="Body Text 3"/>
    <w:basedOn w:val="Normal"/>
    <w:link w:val="Textodecuerpo3Car"/>
    <w:rsid w:val="00473421"/>
    <w:pPr>
      <w:tabs>
        <w:tab w:val="left" w:pos="850"/>
        <w:tab w:val="left" w:pos="1191"/>
        <w:tab w:val="left" w:pos="1531"/>
      </w:tabs>
      <w:spacing w:after="120"/>
      <w:jc w:val="both"/>
    </w:pPr>
    <w:rPr>
      <w:sz w:val="16"/>
      <w:szCs w:val="16"/>
      <w:lang w:eastAsia="zh-CN"/>
    </w:rPr>
  </w:style>
  <w:style w:type="character" w:customStyle="1" w:styleId="Textodecuerpo3Car">
    <w:name w:val="Texto de cuerpo 3 Car"/>
    <w:basedOn w:val="Fuentedeprrafopredeter"/>
    <w:link w:val="Textodecuerpo3"/>
    <w:rsid w:val="00473421"/>
    <w:rPr>
      <w:sz w:val="16"/>
      <w:szCs w:val="16"/>
      <w:lang w:val="en-GB" w:eastAsia="zh-CN"/>
    </w:rPr>
  </w:style>
  <w:style w:type="paragraph" w:styleId="Fecha">
    <w:name w:val="Date"/>
    <w:basedOn w:val="Normal"/>
    <w:next w:val="Normal"/>
    <w:link w:val="FechaCar"/>
    <w:rsid w:val="00473421"/>
    <w:pPr>
      <w:tabs>
        <w:tab w:val="left" w:pos="850"/>
        <w:tab w:val="left" w:pos="1191"/>
        <w:tab w:val="left" w:pos="1531"/>
      </w:tabs>
      <w:jc w:val="both"/>
    </w:pPr>
    <w:rPr>
      <w:lang w:eastAsia="zh-CN"/>
    </w:rPr>
  </w:style>
  <w:style w:type="character" w:customStyle="1" w:styleId="FechaCar">
    <w:name w:val="Fecha Car"/>
    <w:basedOn w:val="Fuentedeprrafopredeter"/>
    <w:link w:val="Fecha"/>
    <w:rsid w:val="00473421"/>
    <w:rPr>
      <w:sz w:val="22"/>
      <w:szCs w:val="22"/>
      <w:lang w:val="en-GB" w:eastAsia="zh-CN"/>
    </w:rPr>
  </w:style>
  <w:style w:type="paragraph" w:styleId="Encabezadodemensaje">
    <w:name w:val="Message Header"/>
    <w:basedOn w:val="Normal"/>
    <w:link w:val="EncabezadodemensajeCar"/>
    <w:rsid w:val="00473421"/>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cs="Arial"/>
      <w:sz w:val="24"/>
      <w:szCs w:val="24"/>
      <w:lang w:eastAsia="zh-CN"/>
    </w:rPr>
  </w:style>
  <w:style w:type="character" w:customStyle="1" w:styleId="EncabezadodemensajeCar">
    <w:name w:val="Encabezado de mensaje Car"/>
    <w:basedOn w:val="Fuentedeprrafopredeter"/>
    <w:link w:val="Encabezadodemensaje"/>
    <w:rsid w:val="00473421"/>
    <w:rPr>
      <w:rFonts w:ascii="Arial" w:hAnsi="Arial" w:cs="Arial"/>
      <w:sz w:val="24"/>
      <w:szCs w:val="24"/>
      <w:shd w:val="pct20" w:color="auto" w:fill="auto"/>
      <w:lang w:val="en-GB" w:eastAsia="zh-CN"/>
    </w:rPr>
  </w:style>
  <w:style w:type="paragraph" w:styleId="Mapadeldocumento">
    <w:name w:val="Document Map"/>
    <w:basedOn w:val="Normal"/>
    <w:link w:val="MapadeldocumentoCar"/>
    <w:semiHidden/>
    <w:rsid w:val="00473421"/>
    <w:pPr>
      <w:shd w:val="clear" w:color="auto" w:fill="000080"/>
      <w:tabs>
        <w:tab w:val="left" w:pos="850"/>
        <w:tab w:val="left" w:pos="1191"/>
        <w:tab w:val="left" w:pos="1531"/>
      </w:tabs>
      <w:jc w:val="both"/>
    </w:pPr>
    <w:rPr>
      <w:rFonts w:ascii="Tahoma" w:hAnsi="Tahoma" w:cs="Tahoma"/>
      <w:lang w:eastAsia="zh-CN"/>
    </w:rPr>
  </w:style>
  <w:style w:type="character" w:customStyle="1" w:styleId="MapadeldocumentoCar">
    <w:name w:val="Mapa del documento Car"/>
    <w:basedOn w:val="Fuentedeprrafopredeter"/>
    <w:link w:val="Mapadeldocumento"/>
    <w:semiHidden/>
    <w:rsid w:val="00473421"/>
    <w:rPr>
      <w:rFonts w:ascii="Tahoma" w:hAnsi="Tahoma" w:cs="Tahoma"/>
      <w:sz w:val="22"/>
      <w:szCs w:val="22"/>
      <w:shd w:val="clear" w:color="auto" w:fill="000080"/>
      <w:lang w:val="en-GB" w:eastAsia="zh-CN"/>
    </w:rPr>
  </w:style>
  <w:style w:type="paragraph" w:styleId="Cierre">
    <w:name w:val="Closing"/>
    <w:basedOn w:val="Normal"/>
    <w:link w:val="CierreCar"/>
    <w:rsid w:val="00473421"/>
    <w:pPr>
      <w:tabs>
        <w:tab w:val="left" w:pos="850"/>
        <w:tab w:val="left" w:pos="1191"/>
        <w:tab w:val="left" w:pos="1531"/>
      </w:tabs>
      <w:ind w:left="4252"/>
      <w:jc w:val="both"/>
    </w:pPr>
    <w:rPr>
      <w:lang w:eastAsia="zh-CN"/>
    </w:rPr>
  </w:style>
  <w:style w:type="character" w:customStyle="1" w:styleId="CierreCar">
    <w:name w:val="Cierre Car"/>
    <w:basedOn w:val="Fuentedeprrafopredeter"/>
    <w:link w:val="Cierre"/>
    <w:rsid w:val="00473421"/>
    <w:rPr>
      <w:sz w:val="22"/>
      <w:szCs w:val="22"/>
      <w:lang w:val="en-GB" w:eastAsia="zh-CN"/>
    </w:rPr>
  </w:style>
  <w:style w:type="paragraph" w:styleId="ndice2">
    <w:name w:val="index 2"/>
    <w:basedOn w:val="Normal"/>
    <w:next w:val="Normal"/>
    <w:semiHidden/>
    <w:rsid w:val="00473421"/>
    <w:pPr>
      <w:ind w:left="440" w:hanging="220"/>
      <w:jc w:val="both"/>
    </w:pPr>
    <w:rPr>
      <w:lang w:eastAsia="zh-CN"/>
    </w:rPr>
  </w:style>
  <w:style w:type="paragraph" w:styleId="ndice3">
    <w:name w:val="index 3"/>
    <w:basedOn w:val="Normal"/>
    <w:next w:val="Normal"/>
    <w:semiHidden/>
    <w:rsid w:val="00473421"/>
    <w:pPr>
      <w:ind w:left="660" w:hanging="220"/>
      <w:jc w:val="both"/>
    </w:pPr>
    <w:rPr>
      <w:lang w:eastAsia="zh-CN"/>
    </w:rPr>
  </w:style>
  <w:style w:type="paragraph" w:styleId="ndice4">
    <w:name w:val="index 4"/>
    <w:basedOn w:val="Normal"/>
    <w:next w:val="Normal"/>
    <w:semiHidden/>
    <w:rsid w:val="00473421"/>
    <w:pPr>
      <w:ind w:left="880" w:hanging="220"/>
      <w:jc w:val="both"/>
    </w:pPr>
    <w:rPr>
      <w:lang w:eastAsia="zh-CN"/>
    </w:rPr>
  </w:style>
  <w:style w:type="paragraph" w:styleId="ndice5">
    <w:name w:val="index 5"/>
    <w:basedOn w:val="Normal"/>
    <w:next w:val="Normal"/>
    <w:semiHidden/>
    <w:rsid w:val="00473421"/>
    <w:pPr>
      <w:ind w:left="1100" w:hanging="220"/>
      <w:jc w:val="both"/>
    </w:pPr>
    <w:rPr>
      <w:lang w:eastAsia="zh-CN"/>
    </w:rPr>
  </w:style>
  <w:style w:type="paragraph" w:styleId="ndice6">
    <w:name w:val="index 6"/>
    <w:basedOn w:val="Normal"/>
    <w:next w:val="Normal"/>
    <w:semiHidden/>
    <w:rsid w:val="00473421"/>
    <w:pPr>
      <w:ind w:left="1320" w:hanging="220"/>
      <w:jc w:val="both"/>
    </w:pPr>
    <w:rPr>
      <w:lang w:eastAsia="zh-CN"/>
    </w:rPr>
  </w:style>
  <w:style w:type="paragraph" w:styleId="ndice7">
    <w:name w:val="index 7"/>
    <w:basedOn w:val="Normal"/>
    <w:next w:val="Normal"/>
    <w:semiHidden/>
    <w:rsid w:val="00473421"/>
    <w:pPr>
      <w:ind w:left="1540" w:hanging="220"/>
      <w:jc w:val="both"/>
    </w:pPr>
    <w:rPr>
      <w:lang w:eastAsia="zh-CN"/>
    </w:rPr>
  </w:style>
  <w:style w:type="paragraph" w:styleId="ndice8">
    <w:name w:val="index 8"/>
    <w:basedOn w:val="Normal"/>
    <w:next w:val="Normal"/>
    <w:semiHidden/>
    <w:rsid w:val="00473421"/>
    <w:pPr>
      <w:ind w:left="1760" w:hanging="220"/>
      <w:jc w:val="both"/>
    </w:pPr>
    <w:rPr>
      <w:lang w:eastAsia="zh-CN"/>
    </w:rPr>
  </w:style>
  <w:style w:type="paragraph" w:styleId="ndice9">
    <w:name w:val="index 9"/>
    <w:basedOn w:val="Normal"/>
    <w:next w:val="Normal"/>
    <w:semiHidden/>
    <w:rsid w:val="00473421"/>
    <w:pPr>
      <w:ind w:left="1980" w:hanging="220"/>
      <w:jc w:val="both"/>
    </w:pPr>
    <w:rPr>
      <w:lang w:eastAsia="zh-CN"/>
    </w:rPr>
  </w:style>
  <w:style w:type="paragraph" w:styleId="NormalWeb">
    <w:name w:val="Normal (Web)"/>
    <w:basedOn w:val="Normal"/>
    <w:uiPriority w:val="99"/>
    <w:rsid w:val="00473421"/>
    <w:pPr>
      <w:tabs>
        <w:tab w:val="left" w:pos="850"/>
        <w:tab w:val="left" w:pos="1191"/>
        <w:tab w:val="left" w:pos="1531"/>
      </w:tabs>
      <w:jc w:val="both"/>
    </w:pPr>
    <w:rPr>
      <w:sz w:val="24"/>
      <w:szCs w:val="24"/>
      <w:lang w:eastAsia="zh-CN"/>
    </w:rPr>
  </w:style>
  <w:style w:type="paragraph" w:styleId="Asuntodelcomentario">
    <w:name w:val="annotation subject"/>
    <w:basedOn w:val="Textocomentario"/>
    <w:next w:val="Textocomentario"/>
    <w:link w:val="AsuntodelcomentarioCar"/>
    <w:semiHidden/>
    <w:rsid w:val="00473421"/>
    <w:rPr>
      <w:b/>
      <w:bCs/>
    </w:rPr>
  </w:style>
  <w:style w:type="character" w:customStyle="1" w:styleId="AsuntodelcomentarioCar">
    <w:name w:val="Asunto del comentario Car"/>
    <w:basedOn w:val="TextocomentarioCar"/>
    <w:link w:val="Asuntodelcomentario"/>
    <w:uiPriority w:val="99"/>
    <w:semiHidden/>
    <w:rsid w:val="00473421"/>
    <w:rPr>
      <w:b/>
      <w:bCs/>
      <w:lang w:val="en-GB" w:eastAsia="zh-CN"/>
    </w:rPr>
  </w:style>
  <w:style w:type="paragraph" w:styleId="HTMLconformatoprevio">
    <w:name w:val="HTML Preformatted"/>
    <w:basedOn w:val="Normal"/>
    <w:link w:val="HTMLconformatoprevioCar"/>
    <w:uiPriority w:val="99"/>
    <w:rsid w:val="00473421"/>
    <w:pPr>
      <w:tabs>
        <w:tab w:val="left" w:pos="850"/>
        <w:tab w:val="left" w:pos="1191"/>
        <w:tab w:val="left" w:pos="1531"/>
      </w:tabs>
      <w:jc w:val="both"/>
    </w:pPr>
    <w:rPr>
      <w:rFonts w:ascii="Courier New" w:hAnsi="Courier New" w:cs="Courier New"/>
      <w:sz w:val="20"/>
      <w:szCs w:val="20"/>
      <w:lang w:eastAsia="zh-CN"/>
    </w:rPr>
  </w:style>
  <w:style w:type="character" w:customStyle="1" w:styleId="HTMLconformatoprevioCar">
    <w:name w:val="HTML con formato previo Car"/>
    <w:basedOn w:val="Fuentedeprrafopredeter"/>
    <w:link w:val="HTMLconformatoprevio"/>
    <w:uiPriority w:val="99"/>
    <w:rsid w:val="00473421"/>
    <w:rPr>
      <w:rFonts w:ascii="Courier New" w:hAnsi="Courier New" w:cs="Courier New"/>
      <w:lang w:val="en-GB" w:eastAsia="zh-CN"/>
    </w:rPr>
  </w:style>
  <w:style w:type="paragraph" w:styleId="Textodecuerpo1sangra">
    <w:name w:val="Body Text First Indent"/>
    <w:basedOn w:val="Textodecuerpo"/>
    <w:link w:val="Textodecuerpo1sangraCar"/>
    <w:rsid w:val="00473421"/>
    <w:pPr>
      <w:tabs>
        <w:tab w:val="clear" w:pos="1361"/>
        <w:tab w:val="clear" w:pos="1701"/>
        <w:tab w:val="clear" w:pos="2041"/>
        <w:tab w:val="left" w:pos="850"/>
        <w:tab w:val="left" w:pos="1191"/>
        <w:tab w:val="left" w:pos="1531"/>
      </w:tabs>
      <w:ind w:left="0" w:right="0" w:firstLine="210"/>
    </w:pPr>
    <w:rPr>
      <w:lang w:val="en-GB" w:eastAsia="zh-CN"/>
    </w:rPr>
  </w:style>
  <w:style w:type="character" w:customStyle="1" w:styleId="Textodecuerpo1sangraCar">
    <w:name w:val="Texto de cuerpo 1ª sangría Car"/>
    <w:basedOn w:val="TextodecuerpoCar"/>
    <w:link w:val="Textodecuerpo1sangra"/>
    <w:rsid w:val="00473421"/>
    <w:rPr>
      <w:sz w:val="22"/>
      <w:szCs w:val="22"/>
      <w:lang w:val="en-GB" w:eastAsia="zh-CN" w:bidi="ar-SA"/>
    </w:rPr>
  </w:style>
  <w:style w:type="paragraph" w:styleId="Sangra2detdecuerpo">
    <w:name w:val="Body Text Indent 2"/>
    <w:basedOn w:val="Normal"/>
    <w:link w:val="Sangra2detdecuerpoCar"/>
    <w:rsid w:val="00473421"/>
    <w:pPr>
      <w:tabs>
        <w:tab w:val="left" w:pos="850"/>
        <w:tab w:val="left" w:pos="1191"/>
        <w:tab w:val="left" w:pos="1531"/>
      </w:tabs>
      <w:spacing w:after="120" w:line="480" w:lineRule="auto"/>
      <w:ind w:left="283"/>
      <w:jc w:val="both"/>
    </w:pPr>
    <w:rPr>
      <w:lang w:eastAsia="zh-CN"/>
    </w:rPr>
  </w:style>
  <w:style w:type="character" w:customStyle="1" w:styleId="Sangra2detdecuerpoCar">
    <w:name w:val="Sangría 2 de t. de cuerpo Car"/>
    <w:basedOn w:val="Fuentedeprrafopredeter"/>
    <w:link w:val="Sangra2detdecuerpo"/>
    <w:rsid w:val="00473421"/>
    <w:rPr>
      <w:sz w:val="22"/>
      <w:szCs w:val="22"/>
      <w:lang w:val="en-GB" w:eastAsia="zh-CN"/>
    </w:rPr>
  </w:style>
  <w:style w:type="paragraph" w:styleId="Sangra3detdecuerpo">
    <w:name w:val="Body Text Indent 3"/>
    <w:basedOn w:val="Normal"/>
    <w:link w:val="Sangra3detdecuerpoCar"/>
    <w:rsid w:val="00473421"/>
    <w:pPr>
      <w:tabs>
        <w:tab w:val="left" w:pos="850"/>
        <w:tab w:val="left" w:pos="1191"/>
        <w:tab w:val="left" w:pos="1531"/>
      </w:tabs>
      <w:spacing w:after="120"/>
      <w:ind w:left="283"/>
      <w:jc w:val="both"/>
    </w:pPr>
    <w:rPr>
      <w:sz w:val="16"/>
      <w:szCs w:val="16"/>
      <w:lang w:eastAsia="zh-CN"/>
    </w:rPr>
  </w:style>
  <w:style w:type="character" w:customStyle="1" w:styleId="Sangra3detdecuerpoCar">
    <w:name w:val="Sangría 3 de t. de cuerpo Car"/>
    <w:basedOn w:val="Fuentedeprrafopredeter"/>
    <w:link w:val="Sangra3detdecuerpo"/>
    <w:rsid w:val="00473421"/>
    <w:rPr>
      <w:sz w:val="16"/>
      <w:szCs w:val="16"/>
      <w:lang w:val="en-GB" w:eastAsia="zh-CN"/>
    </w:rPr>
  </w:style>
  <w:style w:type="paragraph" w:styleId="Textodecuerpo1sangra2">
    <w:name w:val="Body Text First Indent 2"/>
    <w:basedOn w:val="Sangradetdecuerpo"/>
    <w:link w:val="Textodecuerpo1sangra2Car"/>
    <w:rsid w:val="00473421"/>
    <w:pPr>
      <w:tabs>
        <w:tab w:val="clear" w:pos="1361"/>
        <w:tab w:val="clear" w:pos="1701"/>
        <w:tab w:val="clear" w:pos="2041"/>
        <w:tab w:val="left" w:pos="850"/>
        <w:tab w:val="left" w:pos="1191"/>
        <w:tab w:val="left" w:pos="1531"/>
      </w:tabs>
      <w:spacing w:after="240"/>
      <w:ind w:left="442" w:right="0" w:firstLine="210"/>
    </w:pPr>
    <w:rPr>
      <w:lang w:val="en-GB" w:eastAsia="zh-CN"/>
    </w:rPr>
  </w:style>
  <w:style w:type="character" w:customStyle="1" w:styleId="SangradetdecuerpoCar">
    <w:name w:val="Sangría de t. de cuerpo Car"/>
    <w:basedOn w:val="TextodecuerpoCar"/>
    <w:link w:val="Sangradetdecuerpo"/>
    <w:rsid w:val="00473421"/>
    <w:rPr>
      <w:sz w:val="22"/>
      <w:szCs w:val="22"/>
      <w:lang w:val="en-US" w:eastAsia="en-US" w:bidi="ar-SA"/>
    </w:rPr>
  </w:style>
  <w:style w:type="character" w:customStyle="1" w:styleId="Textodecuerpo1sangra2Car">
    <w:name w:val="Texto de cuerpo 1ª sangría 2 Car"/>
    <w:basedOn w:val="SangradetdecuerpoCar"/>
    <w:link w:val="Textodecuerpo1sangra2"/>
    <w:rsid w:val="00473421"/>
    <w:rPr>
      <w:sz w:val="22"/>
      <w:szCs w:val="22"/>
      <w:lang w:val="en-GB" w:eastAsia="zh-CN" w:bidi="ar-SA"/>
    </w:rPr>
  </w:style>
  <w:style w:type="paragraph" w:styleId="Sangranormal">
    <w:name w:val="Normal Indent"/>
    <w:basedOn w:val="Normal"/>
    <w:rsid w:val="00473421"/>
    <w:pPr>
      <w:tabs>
        <w:tab w:val="left" w:pos="850"/>
        <w:tab w:val="left" w:pos="1191"/>
        <w:tab w:val="left" w:pos="1531"/>
      </w:tabs>
      <w:ind w:left="708"/>
      <w:jc w:val="both"/>
    </w:pPr>
    <w:rPr>
      <w:lang w:eastAsia="zh-CN"/>
    </w:rPr>
  </w:style>
  <w:style w:type="paragraph" w:styleId="Saludo">
    <w:name w:val="Salutation"/>
    <w:basedOn w:val="Normal"/>
    <w:next w:val="Normal"/>
    <w:link w:val="SaludoCar"/>
    <w:rsid w:val="00473421"/>
    <w:pPr>
      <w:tabs>
        <w:tab w:val="left" w:pos="850"/>
        <w:tab w:val="left" w:pos="1191"/>
        <w:tab w:val="left" w:pos="1531"/>
      </w:tabs>
      <w:jc w:val="both"/>
    </w:pPr>
    <w:rPr>
      <w:lang w:eastAsia="zh-CN"/>
    </w:rPr>
  </w:style>
  <w:style w:type="character" w:customStyle="1" w:styleId="SaludoCar">
    <w:name w:val="Saludo Car"/>
    <w:basedOn w:val="Fuentedeprrafopredeter"/>
    <w:link w:val="Saludo"/>
    <w:rsid w:val="00473421"/>
    <w:rPr>
      <w:sz w:val="22"/>
      <w:szCs w:val="22"/>
      <w:lang w:val="en-GB" w:eastAsia="zh-CN"/>
    </w:rPr>
  </w:style>
  <w:style w:type="paragraph" w:styleId="Firma">
    <w:name w:val="Signature"/>
    <w:basedOn w:val="Normal"/>
    <w:link w:val="FirmaCar"/>
    <w:rsid w:val="00473421"/>
    <w:pPr>
      <w:tabs>
        <w:tab w:val="left" w:pos="850"/>
        <w:tab w:val="left" w:pos="1191"/>
        <w:tab w:val="left" w:pos="1531"/>
      </w:tabs>
      <w:ind w:left="4252"/>
      <w:jc w:val="both"/>
    </w:pPr>
    <w:rPr>
      <w:lang w:eastAsia="zh-CN"/>
    </w:rPr>
  </w:style>
  <w:style w:type="character" w:customStyle="1" w:styleId="FirmaCar">
    <w:name w:val="Firma Car"/>
    <w:basedOn w:val="Fuentedeprrafopredeter"/>
    <w:link w:val="Firma"/>
    <w:rsid w:val="00473421"/>
    <w:rPr>
      <w:sz w:val="22"/>
      <w:szCs w:val="22"/>
      <w:lang w:val="en-GB" w:eastAsia="zh-CN"/>
    </w:rPr>
  </w:style>
  <w:style w:type="paragraph" w:styleId="Firmadecorreoelectrnico">
    <w:name w:val="E-mail Signature"/>
    <w:basedOn w:val="Normal"/>
    <w:link w:val="FirmadecorreoelectrnicoCar"/>
    <w:rsid w:val="00473421"/>
    <w:pPr>
      <w:tabs>
        <w:tab w:val="left" w:pos="850"/>
        <w:tab w:val="left" w:pos="1191"/>
        <w:tab w:val="left" w:pos="1531"/>
      </w:tabs>
      <w:jc w:val="both"/>
    </w:pPr>
    <w:rPr>
      <w:lang w:eastAsia="zh-CN"/>
    </w:rPr>
  </w:style>
  <w:style w:type="character" w:customStyle="1" w:styleId="FirmadecorreoelectrnicoCar">
    <w:name w:val="Firma de correo electrónico Car"/>
    <w:basedOn w:val="Fuentedeprrafopredeter"/>
    <w:link w:val="Firmadecorreoelectrnico"/>
    <w:rsid w:val="00473421"/>
    <w:rPr>
      <w:sz w:val="22"/>
      <w:szCs w:val="22"/>
      <w:lang w:val="en-GB" w:eastAsia="zh-CN"/>
    </w:rPr>
  </w:style>
  <w:style w:type="paragraph" w:styleId="Subttulo">
    <w:name w:val="Subtitle"/>
    <w:basedOn w:val="Normal"/>
    <w:link w:val="SubttuloCar"/>
    <w:qFormat/>
    <w:rsid w:val="00473421"/>
    <w:pPr>
      <w:tabs>
        <w:tab w:val="left" w:pos="850"/>
        <w:tab w:val="left" w:pos="1191"/>
        <w:tab w:val="left" w:pos="1531"/>
      </w:tabs>
      <w:spacing w:after="60"/>
      <w:jc w:val="center"/>
      <w:outlineLvl w:val="1"/>
    </w:pPr>
    <w:rPr>
      <w:rFonts w:ascii="Arial" w:hAnsi="Arial" w:cs="Arial"/>
      <w:sz w:val="24"/>
      <w:szCs w:val="24"/>
      <w:lang w:eastAsia="zh-CN"/>
    </w:rPr>
  </w:style>
  <w:style w:type="character" w:customStyle="1" w:styleId="SubttuloCar">
    <w:name w:val="Subtítulo Car"/>
    <w:basedOn w:val="Fuentedeprrafopredeter"/>
    <w:link w:val="Subttulo"/>
    <w:uiPriority w:val="11"/>
    <w:rsid w:val="00473421"/>
    <w:rPr>
      <w:rFonts w:ascii="Arial" w:hAnsi="Arial" w:cs="Arial"/>
      <w:sz w:val="24"/>
      <w:szCs w:val="24"/>
      <w:lang w:val="en-GB" w:eastAsia="zh-CN"/>
    </w:rPr>
  </w:style>
  <w:style w:type="paragraph" w:styleId="Tabladeilustraciones">
    <w:name w:val="table of figures"/>
    <w:basedOn w:val="Normal"/>
    <w:next w:val="Normal"/>
    <w:uiPriority w:val="99"/>
    <w:rsid w:val="00473421"/>
    <w:pPr>
      <w:ind w:left="440" w:hanging="440"/>
      <w:jc w:val="both"/>
    </w:pPr>
    <w:rPr>
      <w:lang w:eastAsia="zh-CN"/>
    </w:rPr>
  </w:style>
  <w:style w:type="paragraph" w:styleId="Textoconsangra">
    <w:name w:val="table of authorities"/>
    <w:basedOn w:val="Normal"/>
    <w:next w:val="Normal"/>
    <w:semiHidden/>
    <w:rsid w:val="00473421"/>
    <w:pPr>
      <w:ind w:left="220" w:hanging="220"/>
      <w:jc w:val="both"/>
    </w:pPr>
    <w:rPr>
      <w:lang w:eastAsia="zh-CN"/>
    </w:rPr>
  </w:style>
  <w:style w:type="paragraph" w:styleId="Textosinformato">
    <w:name w:val="Plain Text"/>
    <w:basedOn w:val="Normal"/>
    <w:link w:val="TextosinformatoCar"/>
    <w:rsid w:val="00473421"/>
    <w:pPr>
      <w:tabs>
        <w:tab w:val="left" w:pos="850"/>
        <w:tab w:val="left" w:pos="1191"/>
        <w:tab w:val="left" w:pos="1531"/>
      </w:tabs>
      <w:jc w:val="both"/>
    </w:pPr>
    <w:rPr>
      <w:rFonts w:ascii="Courier New" w:hAnsi="Courier New" w:cs="Courier New"/>
      <w:sz w:val="20"/>
      <w:szCs w:val="20"/>
      <w:lang w:eastAsia="zh-CN"/>
    </w:rPr>
  </w:style>
  <w:style w:type="character" w:customStyle="1" w:styleId="TextosinformatoCar">
    <w:name w:val="Texto sin formato Car"/>
    <w:basedOn w:val="Fuentedeprrafopredeter"/>
    <w:link w:val="Textosinformato"/>
    <w:rsid w:val="00473421"/>
    <w:rPr>
      <w:rFonts w:ascii="Courier New" w:hAnsi="Courier New" w:cs="Courier New"/>
      <w:lang w:val="en-GB" w:eastAsia="zh-CN"/>
    </w:rPr>
  </w:style>
  <w:style w:type="paragraph" w:styleId="Textodeglobo">
    <w:name w:val="Balloon Text"/>
    <w:basedOn w:val="Normal"/>
    <w:link w:val="TextodegloboCar"/>
    <w:semiHidden/>
    <w:rsid w:val="00473421"/>
    <w:pPr>
      <w:tabs>
        <w:tab w:val="left" w:pos="850"/>
        <w:tab w:val="left" w:pos="1191"/>
        <w:tab w:val="left" w:pos="1531"/>
      </w:tabs>
      <w:jc w:val="both"/>
    </w:pPr>
    <w:rPr>
      <w:rFonts w:ascii="Tahoma" w:hAnsi="Tahoma" w:cs="Tahoma"/>
      <w:sz w:val="16"/>
      <w:szCs w:val="16"/>
      <w:lang w:eastAsia="zh-CN"/>
    </w:rPr>
  </w:style>
  <w:style w:type="character" w:customStyle="1" w:styleId="TextodegloboCar">
    <w:name w:val="Texto de globo Car"/>
    <w:basedOn w:val="Fuentedeprrafopredeter"/>
    <w:link w:val="Textodeglobo"/>
    <w:uiPriority w:val="99"/>
    <w:semiHidden/>
    <w:rsid w:val="00473421"/>
    <w:rPr>
      <w:rFonts w:ascii="Tahoma" w:hAnsi="Tahoma" w:cs="Tahoma"/>
      <w:sz w:val="16"/>
      <w:szCs w:val="16"/>
      <w:lang w:val="en-GB" w:eastAsia="zh-CN"/>
    </w:rPr>
  </w:style>
  <w:style w:type="paragraph" w:styleId="Textomacro">
    <w:name w:val="macro"/>
    <w:link w:val="TextomacroCar"/>
    <w:semiHidden/>
    <w:rsid w:val="00473421"/>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GB" w:eastAsia="zh-CN"/>
    </w:rPr>
  </w:style>
  <w:style w:type="character" w:customStyle="1" w:styleId="TextomacroCar">
    <w:name w:val="Texto macro Car"/>
    <w:basedOn w:val="Fuentedeprrafopredeter"/>
    <w:link w:val="Textomacro"/>
    <w:semiHidden/>
    <w:rsid w:val="00473421"/>
    <w:rPr>
      <w:rFonts w:ascii="Courier New" w:hAnsi="Courier New" w:cs="Courier New"/>
      <w:lang w:val="en-GB" w:eastAsia="zh-CN"/>
    </w:rPr>
  </w:style>
  <w:style w:type="paragraph" w:styleId="Ttulo">
    <w:name w:val="Title"/>
    <w:basedOn w:val="Normal"/>
    <w:link w:val="TtuloCar"/>
    <w:uiPriority w:val="10"/>
    <w:qFormat/>
    <w:rsid w:val="00473421"/>
    <w:pPr>
      <w:tabs>
        <w:tab w:val="left" w:pos="850"/>
        <w:tab w:val="left" w:pos="1191"/>
        <w:tab w:val="left" w:pos="1531"/>
      </w:tabs>
      <w:spacing w:before="240" w:after="60"/>
      <w:jc w:val="center"/>
      <w:outlineLvl w:val="0"/>
    </w:pPr>
    <w:rPr>
      <w:rFonts w:ascii="Arial" w:hAnsi="Arial" w:cs="Arial"/>
      <w:b/>
      <w:bCs/>
      <w:kern w:val="28"/>
      <w:sz w:val="32"/>
      <w:szCs w:val="32"/>
      <w:lang w:eastAsia="zh-CN"/>
    </w:rPr>
  </w:style>
  <w:style w:type="character" w:customStyle="1" w:styleId="TtuloCar">
    <w:name w:val="Título Car"/>
    <w:basedOn w:val="Fuentedeprrafopredeter"/>
    <w:link w:val="Ttulo"/>
    <w:uiPriority w:val="10"/>
    <w:rsid w:val="00473421"/>
    <w:rPr>
      <w:rFonts w:ascii="Arial" w:hAnsi="Arial" w:cs="Arial"/>
      <w:b/>
      <w:bCs/>
      <w:kern w:val="28"/>
      <w:sz w:val="32"/>
      <w:szCs w:val="32"/>
      <w:lang w:val="en-GB" w:eastAsia="zh-CN"/>
    </w:rPr>
  </w:style>
  <w:style w:type="paragraph" w:styleId="Encabezadodenota">
    <w:name w:val="Note Heading"/>
    <w:basedOn w:val="Normal"/>
    <w:next w:val="Normal"/>
    <w:link w:val="EncabezadodenotaCar"/>
    <w:rsid w:val="00473421"/>
    <w:pPr>
      <w:tabs>
        <w:tab w:val="left" w:pos="850"/>
        <w:tab w:val="left" w:pos="1191"/>
        <w:tab w:val="left" w:pos="1531"/>
      </w:tabs>
      <w:jc w:val="both"/>
    </w:pPr>
    <w:rPr>
      <w:lang w:eastAsia="zh-CN"/>
    </w:rPr>
  </w:style>
  <w:style w:type="character" w:customStyle="1" w:styleId="EncabezadodenotaCar">
    <w:name w:val="Encabezado de nota Car"/>
    <w:basedOn w:val="Fuentedeprrafopredeter"/>
    <w:link w:val="Encabezadodenota"/>
    <w:rsid w:val="00473421"/>
    <w:rPr>
      <w:sz w:val="22"/>
      <w:szCs w:val="22"/>
      <w:lang w:val="en-GB" w:eastAsia="zh-CN"/>
    </w:rPr>
  </w:style>
  <w:style w:type="paragraph" w:styleId="Encabezadodelista">
    <w:name w:val="toa heading"/>
    <w:basedOn w:val="Normal"/>
    <w:next w:val="Normal"/>
    <w:semiHidden/>
    <w:rsid w:val="00473421"/>
    <w:pPr>
      <w:tabs>
        <w:tab w:val="left" w:pos="850"/>
        <w:tab w:val="left" w:pos="1191"/>
        <w:tab w:val="left" w:pos="1531"/>
      </w:tabs>
      <w:spacing w:before="120"/>
      <w:jc w:val="both"/>
    </w:pPr>
    <w:rPr>
      <w:rFonts w:ascii="Arial" w:hAnsi="Arial" w:cs="Arial"/>
      <w:b/>
      <w:bCs/>
      <w:sz w:val="24"/>
      <w:szCs w:val="24"/>
      <w:lang w:eastAsia="zh-CN"/>
    </w:rPr>
  </w:style>
  <w:style w:type="paragraph" w:styleId="TDC6">
    <w:name w:val="toc 6"/>
    <w:basedOn w:val="Normal"/>
    <w:next w:val="Normal"/>
    <w:qFormat/>
    <w:rsid w:val="00473421"/>
    <w:pPr>
      <w:ind w:left="1100"/>
      <w:jc w:val="both"/>
    </w:pPr>
    <w:rPr>
      <w:lang w:eastAsia="zh-CN"/>
    </w:rPr>
  </w:style>
  <w:style w:type="paragraph" w:styleId="TDC7">
    <w:name w:val="toc 7"/>
    <w:basedOn w:val="Normal"/>
    <w:next w:val="Normal"/>
    <w:qFormat/>
    <w:rsid w:val="00473421"/>
    <w:pPr>
      <w:ind w:left="1320"/>
      <w:jc w:val="both"/>
    </w:pPr>
    <w:rPr>
      <w:lang w:eastAsia="zh-CN"/>
    </w:rPr>
  </w:style>
  <w:style w:type="paragraph" w:styleId="TDC8">
    <w:name w:val="toc 8"/>
    <w:basedOn w:val="Normal"/>
    <w:next w:val="Normal"/>
    <w:qFormat/>
    <w:rsid w:val="00473421"/>
    <w:pPr>
      <w:ind w:left="1540"/>
      <w:jc w:val="both"/>
    </w:pPr>
    <w:rPr>
      <w:lang w:eastAsia="zh-CN"/>
    </w:rPr>
  </w:style>
  <w:style w:type="paragraph" w:styleId="Bibliografa">
    <w:name w:val="Bibliography"/>
    <w:basedOn w:val="Normal"/>
    <w:next w:val="Normal"/>
    <w:uiPriority w:val="37"/>
    <w:semiHidden/>
    <w:unhideWhenUsed/>
    <w:rsid w:val="00473421"/>
    <w:pPr>
      <w:tabs>
        <w:tab w:val="left" w:pos="850"/>
        <w:tab w:val="left" w:pos="1191"/>
        <w:tab w:val="left" w:pos="1531"/>
      </w:tabs>
      <w:jc w:val="both"/>
    </w:pPr>
    <w:rPr>
      <w:lang w:eastAsia="zh-CN"/>
    </w:rPr>
  </w:style>
  <w:style w:type="paragraph" w:styleId="Citaintensa">
    <w:name w:val="Intense Quote"/>
    <w:basedOn w:val="Normal"/>
    <w:next w:val="Normal"/>
    <w:link w:val="CitaintensaCar"/>
    <w:uiPriority w:val="30"/>
    <w:qFormat/>
    <w:rsid w:val="00473421"/>
    <w:pPr>
      <w:pBdr>
        <w:bottom w:val="single" w:sz="4" w:space="4" w:color="4F81BD" w:themeColor="accent1"/>
      </w:pBdr>
      <w:tabs>
        <w:tab w:val="left" w:pos="850"/>
        <w:tab w:val="left" w:pos="1191"/>
        <w:tab w:val="left" w:pos="1531"/>
      </w:tabs>
      <w:spacing w:before="200" w:after="280"/>
      <w:ind w:left="936" w:right="936"/>
      <w:jc w:val="both"/>
    </w:pPr>
    <w:rPr>
      <w:b/>
      <w:bCs/>
      <w:i/>
      <w:iCs/>
      <w:color w:val="4F81BD" w:themeColor="accent1"/>
      <w:lang w:eastAsia="zh-CN"/>
    </w:rPr>
  </w:style>
  <w:style w:type="character" w:customStyle="1" w:styleId="CitaintensaCar">
    <w:name w:val="Cita intensa Car"/>
    <w:basedOn w:val="Fuentedeprrafopredeter"/>
    <w:link w:val="Citaintensa"/>
    <w:uiPriority w:val="30"/>
    <w:rsid w:val="00473421"/>
    <w:rPr>
      <w:b/>
      <w:bCs/>
      <w:i/>
      <w:iCs/>
      <w:color w:val="4F81BD" w:themeColor="accent1"/>
      <w:sz w:val="22"/>
      <w:szCs w:val="22"/>
      <w:lang w:val="en-GB" w:eastAsia="zh-CN"/>
    </w:rPr>
  </w:style>
  <w:style w:type="paragraph" w:styleId="Prrafodelista">
    <w:name w:val="List Paragraph"/>
    <w:basedOn w:val="Normal"/>
    <w:uiPriority w:val="34"/>
    <w:qFormat/>
    <w:rsid w:val="00473421"/>
    <w:pPr>
      <w:tabs>
        <w:tab w:val="left" w:pos="850"/>
        <w:tab w:val="left" w:pos="1191"/>
        <w:tab w:val="left" w:pos="1531"/>
      </w:tabs>
      <w:ind w:left="720"/>
      <w:contextualSpacing/>
      <w:jc w:val="both"/>
    </w:pPr>
    <w:rPr>
      <w:lang w:eastAsia="zh-CN"/>
    </w:rPr>
  </w:style>
  <w:style w:type="paragraph" w:styleId="Sinespaciado">
    <w:name w:val="No Spacing"/>
    <w:uiPriority w:val="1"/>
    <w:qFormat/>
    <w:rsid w:val="00473421"/>
    <w:pPr>
      <w:tabs>
        <w:tab w:val="left" w:pos="850"/>
        <w:tab w:val="left" w:pos="1191"/>
        <w:tab w:val="left" w:pos="1531"/>
      </w:tabs>
      <w:jc w:val="both"/>
    </w:pPr>
    <w:rPr>
      <w:sz w:val="22"/>
      <w:szCs w:val="22"/>
      <w:lang w:val="en-GB" w:eastAsia="zh-CN"/>
    </w:rPr>
  </w:style>
  <w:style w:type="paragraph" w:styleId="Cita">
    <w:name w:val="Quote"/>
    <w:basedOn w:val="Normal"/>
    <w:next w:val="Normal"/>
    <w:link w:val="CitaCar"/>
    <w:uiPriority w:val="29"/>
    <w:qFormat/>
    <w:rsid w:val="00473421"/>
    <w:pPr>
      <w:tabs>
        <w:tab w:val="left" w:pos="850"/>
        <w:tab w:val="left" w:pos="1191"/>
        <w:tab w:val="left" w:pos="1531"/>
      </w:tabs>
      <w:jc w:val="both"/>
    </w:pPr>
    <w:rPr>
      <w:i/>
      <w:iCs/>
      <w:color w:val="000000" w:themeColor="text1"/>
      <w:lang w:eastAsia="zh-CN"/>
    </w:rPr>
  </w:style>
  <w:style w:type="character" w:customStyle="1" w:styleId="CitaCar">
    <w:name w:val="Cita Car"/>
    <w:basedOn w:val="Fuentedeprrafopredeter"/>
    <w:link w:val="Cita"/>
    <w:uiPriority w:val="29"/>
    <w:rsid w:val="00473421"/>
    <w:rPr>
      <w:i/>
      <w:iCs/>
      <w:color w:val="000000" w:themeColor="text1"/>
      <w:sz w:val="22"/>
      <w:szCs w:val="22"/>
      <w:lang w:val="en-GB" w:eastAsia="zh-CN"/>
    </w:rPr>
  </w:style>
  <w:style w:type="paragraph" w:styleId="Encabezadodetabladecontenido">
    <w:name w:val="TOC Heading"/>
    <w:basedOn w:val="Ttulo1"/>
    <w:next w:val="Normal"/>
    <w:uiPriority w:val="39"/>
    <w:unhideWhenUsed/>
    <w:qFormat/>
    <w:rsid w:val="00473421"/>
    <w:pPr>
      <w:keepLines/>
      <w:tabs>
        <w:tab w:val="left" w:pos="850"/>
        <w:tab w:val="left" w:pos="1191"/>
        <w:tab w:val="left" w:pos="1531"/>
      </w:tabs>
      <w:spacing w:before="480" w:after="0"/>
      <w:jc w:val="both"/>
      <w:outlineLvl w:val="9"/>
    </w:pPr>
    <w:rPr>
      <w:rFonts w:asciiTheme="majorHAnsi" w:eastAsiaTheme="majorEastAsia" w:hAnsiTheme="majorHAnsi" w:cstheme="majorBidi"/>
      <w:color w:val="365F91" w:themeColor="accent1" w:themeShade="BF"/>
      <w:kern w:val="0"/>
      <w:szCs w:val="28"/>
      <w:lang w:eastAsia="zh-CN"/>
    </w:rPr>
  </w:style>
  <w:style w:type="character" w:customStyle="1" w:styleId="CitationChar">
    <w:name w:val="Citation Char"/>
    <w:basedOn w:val="Fuentedeprrafopredeter"/>
    <w:link w:val="Citation"/>
    <w:rsid w:val="00473421"/>
    <w:rPr>
      <w:i/>
      <w:sz w:val="22"/>
      <w:szCs w:val="22"/>
    </w:rPr>
  </w:style>
  <w:style w:type="character" w:customStyle="1" w:styleId="Ttulo1Car">
    <w:name w:val="Título 1 Car"/>
    <w:basedOn w:val="Fuentedeprrafopredeter"/>
    <w:link w:val="Ttulo1"/>
    <w:uiPriority w:val="9"/>
    <w:rsid w:val="00473421"/>
    <w:rPr>
      <w:b/>
      <w:bCs/>
      <w:kern w:val="28"/>
      <w:sz w:val="28"/>
      <w:szCs w:val="24"/>
      <w:lang w:val="en-GB"/>
    </w:rPr>
  </w:style>
  <w:style w:type="character" w:customStyle="1" w:styleId="Ttulo2Car">
    <w:name w:val="Título 2 Car"/>
    <w:basedOn w:val="Fuentedeprrafopredeter"/>
    <w:link w:val="Ttulo2"/>
    <w:rsid w:val="00473421"/>
    <w:rPr>
      <w:b/>
      <w:bCs/>
      <w:sz w:val="24"/>
      <w:szCs w:val="24"/>
      <w:lang w:val="en-GB"/>
    </w:rPr>
  </w:style>
  <w:style w:type="character" w:customStyle="1" w:styleId="Ttulo3Car">
    <w:name w:val="Título 3 Car"/>
    <w:basedOn w:val="Fuentedeprrafopredeter"/>
    <w:link w:val="Ttulo3"/>
    <w:rsid w:val="00473421"/>
    <w:rPr>
      <w:b/>
      <w:bCs/>
      <w:i/>
      <w:iCs/>
      <w:sz w:val="24"/>
      <w:szCs w:val="24"/>
      <w:lang w:val="en-GB"/>
    </w:rPr>
  </w:style>
  <w:style w:type="character" w:customStyle="1" w:styleId="Ttulo4Car">
    <w:name w:val="Título 4 Car"/>
    <w:basedOn w:val="Fuentedeprrafopredeter"/>
    <w:link w:val="Ttulo4"/>
    <w:rsid w:val="00473421"/>
    <w:rPr>
      <w:i/>
      <w:iCs/>
      <w:sz w:val="24"/>
      <w:szCs w:val="24"/>
      <w:lang w:val="en-GB"/>
    </w:rPr>
  </w:style>
  <w:style w:type="character" w:customStyle="1" w:styleId="Ttulo5Car">
    <w:name w:val="Título 5 Car"/>
    <w:basedOn w:val="Fuentedeprrafopredeter"/>
    <w:link w:val="Ttulo5"/>
    <w:rsid w:val="00473421"/>
    <w:rPr>
      <w:sz w:val="24"/>
      <w:szCs w:val="24"/>
      <w:lang w:val="en-GB"/>
    </w:rPr>
  </w:style>
  <w:style w:type="character" w:customStyle="1" w:styleId="TextonotaalfinalCar">
    <w:name w:val="Texto nota al final Car"/>
    <w:basedOn w:val="Fuentedeprrafopredeter"/>
    <w:link w:val="Textonotaalfinal"/>
    <w:uiPriority w:val="99"/>
    <w:rsid w:val="00473421"/>
    <w:rPr>
      <w:sz w:val="21"/>
      <w:szCs w:val="21"/>
      <w:lang w:val="en-GB"/>
    </w:rPr>
  </w:style>
  <w:style w:type="character" w:customStyle="1" w:styleId="EncabezadoCar">
    <w:name w:val="Encabezado Car"/>
    <w:basedOn w:val="Fuentedeprrafopredeter"/>
    <w:link w:val="Encabezado"/>
    <w:uiPriority w:val="99"/>
    <w:rsid w:val="00473421"/>
    <w:rPr>
      <w:caps/>
      <w:sz w:val="14"/>
      <w:szCs w:val="14"/>
      <w:lang w:val="en-GB"/>
    </w:rPr>
  </w:style>
  <w:style w:type="character" w:customStyle="1" w:styleId="PiedepginaCar">
    <w:name w:val="Pie de página Car"/>
    <w:basedOn w:val="Fuentedeprrafopredeter"/>
    <w:link w:val="Piedepgina"/>
    <w:uiPriority w:val="99"/>
    <w:rsid w:val="00473421"/>
    <w:rPr>
      <w:caps/>
      <w:sz w:val="12"/>
      <w:szCs w:val="12"/>
      <w:lang w:val="en-GB"/>
    </w:rPr>
  </w:style>
  <w:style w:type="character" w:styleId="Refdenotaalfinal">
    <w:name w:val="endnote reference"/>
    <w:basedOn w:val="Fuentedeprrafopredeter"/>
    <w:uiPriority w:val="99"/>
    <w:unhideWhenUsed/>
    <w:rsid w:val="00473421"/>
    <w:rPr>
      <w:vertAlign w:val="superscript"/>
    </w:rPr>
  </w:style>
  <w:style w:type="character" w:styleId="Refdecomentario">
    <w:name w:val="annotation reference"/>
    <w:basedOn w:val="Fuentedeprrafopredeter"/>
    <w:uiPriority w:val="99"/>
    <w:semiHidden/>
    <w:unhideWhenUsed/>
    <w:rsid w:val="00473421"/>
    <w:rPr>
      <w:sz w:val="16"/>
      <w:szCs w:val="16"/>
    </w:rPr>
  </w:style>
  <w:style w:type="character" w:customStyle="1" w:styleId="bathname60388064624289061d5073fe37919468">
    <w:name w:val="bath_name_60388064624289061d5073fe37919468"/>
    <w:basedOn w:val="Fuentedeprrafopredeter"/>
    <w:rsid w:val="00473421"/>
  </w:style>
  <w:style w:type="character" w:customStyle="1" w:styleId="personname3">
    <w:name w:val="person_name3"/>
    <w:basedOn w:val="Fuentedeprrafopredeter"/>
    <w:rsid w:val="00473421"/>
  </w:style>
  <w:style w:type="character" w:styleId="Enfasis">
    <w:name w:val="Emphasis"/>
    <w:basedOn w:val="Fuentedeprrafopredeter"/>
    <w:uiPriority w:val="20"/>
    <w:qFormat/>
    <w:rsid w:val="00473421"/>
    <w:rPr>
      <w:i/>
      <w:iCs/>
    </w:rPr>
  </w:style>
  <w:style w:type="character" w:styleId="Hipervnculo">
    <w:name w:val="Hyperlink"/>
    <w:basedOn w:val="Fuentedeprrafopredeter"/>
    <w:uiPriority w:val="99"/>
    <w:unhideWhenUsed/>
    <w:rsid w:val="00473421"/>
    <w:rPr>
      <w:strike w:val="0"/>
      <w:dstrike w:val="0"/>
      <w:color w:val="337AB7"/>
      <w:u w:val="none"/>
      <w:effect w:val="none"/>
      <w:shd w:val="clear" w:color="auto" w:fill="auto"/>
    </w:rPr>
  </w:style>
  <w:style w:type="character" w:customStyle="1" w:styleId="tgc">
    <w:name w:val="_tgc"/>
    <w:basedOn w:val="Fuentedeprrafopredeter"/>
    <w:rsid w:val="00473421"/>
  </w:style>
  <w:style w:type="table" w:styleId="Tablaconcuadrcula">
    <w:name w:val="Table Grid"/>
    <w:basedOn w:val="Tablanormal"/>
    <w:uiPriority w:val="59"/>
    <w:rsid w:val="00473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DocParagraphChar">
    <w:name w:val="Num-Doc Paragraph Char"/>
    <w:link w:val="Num-DocParagraph"/>
    <w:locked/>
    <w:rsid w:val="00473421"/>
    <w:rPr>
      <w:sz w:val="22"/>
      <w:szCs w:val="22"/>
    </w:rPr>
  </w:style>
  <w:style w:type="paragraph" w:customStyle="1" w:styleId="Default">
    <w:name w:val="Default"/>
    <w:rsid w:val="00473421"/>
    <w:pPr>
      <w:autoSpaceDE w:val="0"/>
      <w:autoSpaceDN w:val="0"/>
      <w:adjustRightInd w:val="0"/>
    </w:pPr>
    <w:rPr>
      <w:rFonts w:ascii="Calibri" w:eastAsiaTheme="minorHAnsi" w:hAnsi="Calibri" w:cs="Calibri"/>
      <w:color w:val="000000"/>
      <w:sz w:val="24"/>
      <w:szCs w:val="24"/>
      <w:lang w:val="en-GB"/>
    </w:rPr>
  </w:style>
  <w:style w:type="paragraph" w:styleId="Revisin">
    <w:name w:val="Revision"/>
    <w:hidden/>
    <w:uiPriority w:val="99"/>
    <w:semiHidden/>
    <w:rsid w:val="00473421"/>
    <w:rPr>
      <w:sz w:val="22"/>
      <w:szCs w:val="22"/>
      <w:lang w:val="en-GB" w:eastAsia="zh-CN"/>
    </w:rPr>
  </w:style>
  <w:style w:type="character" w:customStyle="1" w:styleId="authorname">
    <w:name w:val="authorname"/>
    <w:basedOn w:val="Fuentedeprrafopredeter"/>
    <w:rsid w:val="00473421"/>
  </w:style>
  <w:style w:type="character" w:styleId="Hipervnculovisitado">
    <w:name w:val="FollowedHyperlink"/>
    <w:basedOn w:val="Fuentedeprrafopredeter"/>
    <w:uiPriority w:val="99"/>
    <w:semiHidden/>
    <w:unhideWhenUsed/>
    <w:rsid w:val="00473421"/>
    <w:rPr>
      <w:color w:val="800080" w:themeColor="followedHyperlink"/>
      <w:u w:val="single"/>
    </w:rPr>
  </w:style>
  <w:style w:type="character" w:customStyle="1" w:styleId="Biblio-EntryChar">
    <w:name w:val="Biblio-Entry Char"/>
    <w:basedOn w:val="Fuentedeprrafopredeter"/>
    <w:link w:val="Biblio-Entry"/>
    <w:rsid w:val="00473421"/>
    <w:rPr>
      <w:sz w:val="22"/>
      <w:szCs w:val="22"/>
    </w:rPr>
  </w:style>
  <w:style w:type="paragraph" w:customStyle="1" w:styleId="Citation1">
    <w:name w:val="Citation1"/>
    <w:basedOn w:val="Textodecuerpo"/>
    <w:rsid w:val="00473421"/>
    <w:pPr>
      <w:tabs>
        <w:tab w:val="clear" w:pos="1361"/>
        <w:tab w:val="clear" w:pos="1701"/>
        <w:tab w:val="clear" w:pos="2041"/>
        <w:tab w:val="left" w:pos="850"/>
        <w:tab w:val="left" w:pos="1191"/>
        <w:tab w:val="left" w:pos="1531"/>
      </w:tabs>
      <w:spacing w:after="240"/>
      <w:ind w:left="850" w:right="0" w:firstLine="0"/>
      <w:jc w:val="left"/>
    </w:pPr>
    <w:rPr>
      <w:lang w:val="en-GB" w:eastAsia="zh-CN"/>
    </w:rPr>
  </w:style>
  <w:style w:type="table" w:styleId="Sombreadoclaro">
    <w:name w:val="Light Shading"/>
    <w:basedOn w:val="Tablanormal"/>
    <w:uiPriority w:val="60"/>
    <w:rsid w:val="00473421"/>
    <w:rPr>
      <w:rFonts w:asciiTheme="minorHAnsi" w:eastAsiaTheme="minorHAnsi" w:hAnsiTheme="minorHAnsi" w:cstheme="minorBid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73421"/>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issutil">
    <w:name w:val="Subtle Emphasis"/>
    <w:basedOn w:val="Fuentedeprrafopredeter"/>
    <w:uiPriority w:val="19"/>
    <w:qFormat/>
    <w:rsid w:val="00473421"/>
    <w:rPr>
      <w:i/>
      <w:iCs/>
      <w:color w:val="808080" w:themeColor="text1" w:themeTint="7F"/>
    </w:rPr>
  </w:style>
  <w:style w:type="character" w:customStyle="1" w:styleId="st">
    <w:name w:val="st"/>
    <w:basedOn w:val="Fuentedeprrafopredeter"/>
    <w:rsid w:val="00473421"/>
  </w:style>
  <w:style w:type="paragraph" w:customStyle="1" w:styleId="FigureSubtitle">
    <w:name w:val="Figure Subtitle"/>
    <w:basedOn w:val="Normal"/>
    <w:qFormat/>
    <w:rsid w:val="00473421"/>
    <w:pPr>
      <w:spacing w:after="120"/>
      <w:jc w:val="center"/>
    </w:pPr>
    <w:rPr>
      <w:rFonts w:ascii="Arial" w:eastAsiaTheme="minorHAnsi" w:hAnsi="Arial" w:cs="Arial"/>
      <w:bCs/>
      <w:sz w:val="18"/>
      <w:szCs w:val="18"/>
    </w:rPr>
  </w:style>
  <w:style w:type="character" w:customStyle="1" w:styleId="SourceDescriptionChar">
    <w:name w:val="Source Description Char"/>
    <w:aliases w:val="sr + Italic Char"/>
    <w:link w:val="SourceDescription"/>
    <w:rsid w:val="00473421"/>
    <w:rPr>
      <w:sz w:val="18"/>
      <w:szCs w:val="18"/>
      <w:lang w:val="en-GB"/>
    </w:rPr>
  </w:style>
  <w:style w:type="character" w:customStyle="1" w:styleId="BoxBodyTextChar">
    <w:name w:val="Box Body Text Char"/>
    <w:link w:val="BoxBodyText"/>
    <w:locked/>
    <w:rsid w:val="003C68EE"/>
    <w:rPr>
      <w:rFonts w:cs="Arial"/>
    </w:rPr>
  </w:style>
  <w:style w:type="paragraph" w:customStyle="1" w:styleId="Biblio-EntryJustified">
    <w:name w:val="Biblio-Entry + Justified"/>
    <w:basedOn w:val="Biblio-Entry"/>
    <w:rsid w:val="00473421"/>
    <w:pPr>
      <w:tabs>
        <w:tab w:val="clear" w:pos="1361"/>
        <w:tab w:val="clear" w:pos="1701"/>
        <w:tab w:val="clear" w:pos="2041"/>
        <w:tab w:val="left" w:pos="850"/>
        <w:tab w:val="left" w:pos="1191"/>
        <w:tab w:val="left" w:pos="1531"/>
      </w:tabs>
      <w:spacing w:after="240"/>
      <w:ind w:left="567" w:right="0" w:hanging="567"/>
    </w:pPr>
    <w:rPr>
      <w:lang w:val="en-GB" w:eastAsia="zh-CN"/>
    </w:rPr>
  </w:style>
  <w:style w:type="character" w:customStyle="1" w:styleId="style2">
    <w:name w:val="style2"/>
    <w:basedOn w:val="Fuentedeprrafopredeter"/>
    <w:rsid w:val="00473421"/>
  </w:style>
  <w:style w:type="character" w:customStyle="1" w:styleId="apple-converted-space">
    <w:name w:val="apple-converted-space"/>
    <w:basedOn w:val="Fuentedeprrafopredeter"/>
    <w:rsid w:val="00473421"/>
  </w:style>
  <w:style w:type="paragraph" w:customStyle="1" w:styleId="FigureNoteItalics">
    <w:name w:val="Figure Note + Italics"/>
    <w:basedOn w:val="FigureNote"/>
    <w:rsid w:val="00473421"/>
    <w:pPr>
      <w:tabs>
        <w:tab w:val="left" w:pos="850"/>
        <w:tab w:val="left" w:pos="1191"/>
        <w:tab w:val="left" w:pos="1531"/>
      </w:tabs>
      <w:spacing w:before="0"/>
    </w:pPr>
    <w:rPr>
      <w:rFonts w:ascii="Arial" w:hAnsi="Arial"/>
      <w:sz w:val="16"/>
      <w:lang w:eastAsia="zh-CN"/>
    </w:rPr>
  </w:style>
  <w:style w:type="paragraph" w:customStyle="1" w:styleId="EndnoteText9pt">
    <w:name w:val="Endnote Text + 9 pt"/>
    <w:basedOn w:val="Num-DocParagraph"/>
    <w:rsid w:val="00473421"/>
    <w:pPr>
      <w:tabs>
        <w:tab w:val="clear" w:pos="1361"/>
        <w:tab w:val="clear" w:pos="1701"/>
        <w:tab w:val="clear" w:pos="2041"/>
        <w:tab w:val="left" w:pos="850"/>
        <w:tab w:val="left" w:pos="1191"/>
        <w:tab w:val="left" w:pos="1531"/>
      </w:tabs>
      <w:spacing w:before="240" w:after="240"/>
      <w:ind w:left="0" w:right="0"/>
    </w:pPr>
    <w:rPr>
      <w:lang w:val="en-GB" w:eastAsia="zh-CN"/>
    </w:rPr>
  </w:style>
  <w:style w:type="character" w:customStyle="1" w:styleId="spelle">
    <w:name w:val="spelle"/>
    <w:basedOn w:val="Fuentedeprrafopredeter"/>
    <w:rsid w:val="00473421"/>
  </w:style>
  <w:style w:type="paragraph" w:customStyle="1" w:styleId="NormalAfter12pt">
    <w:name w:val="Normal + After:  12 pt"/>
    <w:basedOn w:val="Normal"/>
    <w:rsid w:val="00473421"/>
    <w:pPr>
      <w:tabs>
        <w:tab w:val="left" w:pos="850"/>
        <w:tab w:val="left" w:pos="1191"/>
        <w:tab w:val="left" w:pos="1531"/>
      </w:tabs>
      <w:jc w:val="both"/>
    </w:pPr>
    <w:rPr>
      <w:noProof/>
      <w:lang w:eastAsia="en-GB"/>
    </w:rPr>
  </w:style>
  <w:style w:type="paragraph" w:customStyle="1" w:styleId="Charttitle0">
    <w:name w:val="Chart title"/>
    <w:basedOn w:val="Ttulo3"/>
    <w:link w:val="CharttitleChar"/>
    <w:qFormat/>
    <w:rsid w:val="00473421"/>
    <w:pPr>
      <w:keepLines/>
      <w:spacing w:before="200" w:after="0"/>
      <w:ind w:left="0" w:right="0"/>
    </w:pPr>
    <w:rPr>
      <w:rFonts w:ascii="Arial" w:eastAsiaTheme="majorEastAsia" w:hAnsi="Arial" w:cs="Arial"/>
      <w:iCs w:val="0"/>
      <w:sz w:val="18"/>
      <w:szCs w:val="18"/>
    </w:rPr>
  </w:style>
  <w:style w:type="character" w:customStyle="1" w:styleId="CharttitleChar">
    <w:name w:val="Chart title Char"/>
    <w:basedOn w:val="Fuentedeprrafopredeter"/>
    <w:link w:val="Charttitle0"/>
    <w:rsid w:val="00473421"/>
    <w:rPr>
      <w:rFonts w:ascii="Arial" w:eastAsiaTheme="majorEastAsia" w:hAnsi="Arial" w:cs="Arial"/>
      <w:b/>
      <w:bCs/>
      <w:i/>
      <w:sz w:val="18"/>
      <w:szCs w:val="18"/>
      <w:lang w:val="en-GB"/>
    </w:rPr>
  </w:style>
  <w:style w:type="paragraph" w:customStyle="1" w:styleId="Chartnotes">
    <w:name w:val="Chart notes"/>
    <w:basedOn w:val="Normal"/>
    <w:link w:val="ChartnotesChar"/>
    <w:qFormat/>
    <w:rsid w:val="00473421"/>
    <w:pPr>
      <w:spacing w:before="60" w:after="60"/>
    </w:pPr>
    <w:rPr>
      <w:rFonts w:ascii="Arial" w:eastAsiaTheme="minorHAnsi" w:hAnsi="Arial" w:cs="Arial"/>
      <w:i/>
      <w:sz w:val="16"/>
      <w:szCs w:val="16"/>
    </w:rPr>
  </w:style>
  <w:style w:type="character" w:customStyle="1" w:styleId="ChartnotesChar">
    <w:name w:val="Chart notes Char"/>
    <w:basedOn w:val="Fuentedeprrafopredeter"/>
    <w:link w:val="Chartnotes"/>
    <w:rsid w:val="00473421"/>
    <w:rPr>
      <w:rFonts w:ascii="Arial" w:eastAsiaTheme="minorHAnsi" w:hAnsi="Arial" w:cs="Arial"/>
      <w:i/>
      <w:sz w:val="16"/>
      <w:szCs w:val="16"/>
      <w:lang w:val="en-GB"/>
    </w:rPr>
  </w:style>
  <w:style w:type="character" w:customStyle="1" w:styleId="st1">
    <w:name w:val="st1"/>
    <w:basedOn w:val="Fuentedeprrafopredeter"/>
    <w:rsid w:val="004734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99"/>
    <w:lsdException w:name="annotation text" w:uiPriority="99"/>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itle" w:semiHidden="0" w:uiPriority="1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443"/>
    <w:rPr>
      <w:sz w:val="22"/>
      <w:szCs w:val="22"/>
      <w:lang w:val="en-GB"/>
    </w:rPr>
  </w:style>
  <w:style w:type="paragraph" w:styleId="Ttulo1">
    <w:name w:val="heading 1"/>
    <w:basedOn w:val="Normal"/>
    <w:next w:val="Num-DocParagraph"/>
    <w:link w:val="Ttulo1Car"/>
    <w:qFormat/>
    <w:rsid w:val="00BC4FD1"/>
    <w:pPr>
      <w:keepNext/>
      <w:spacing w:before="1200" w:after="720"/>
      <w:jc w:val="center"/>
      <w:outlineLvl w:val="0"/>
    </w:pPr>
    <w:rPr>
      <w:b/>
      <w:bCs/>
      <w:kern w:val="28"/>
      <w:sz w:val="28"/>
      <w:szCs w:val="24"/>
    </w:rPr>
  </w:style>
  <w:style w:type="paragraph" w:styleId="Ttulo2">
    <w:name w:val="heading 2"/>
    <w:basedOn w:val="Normal"/>
    <w:next w:val="Num-DocParagraph"/>
    <w:link w:val="Ttulo2Car"/>
    <w:qFormat/>
    <w:rsid w:val="002C056C"/>
    <w:pPr>
      <w:keepNext/>
      <w:tabs>
        <w:tab w:val="left" w:pos="284"/>
      </w:tabs>
      <w:spacing w:before="240" w:after="240"/>
      <w:ind w:right="680"/>
      <w:outlineLvl w:val="1"/>
    </w:pPr>
    <w:rPr>
      <w:b/>
      <w:bCs/>
      <w:sz w:val="24"/>
      <w:szCs w:val="24"/>
    </w:rPr>
  </w:style>
  <w:style w:type="paragraph" w:styleId="Ttulo3">
    <w:name w:val="heading 3"/>
    <w:basedOn w:val="Normal"/>
    <w:next w:val="Num-DocParagraph"/>
    <w:link w:val="Ttulo3Car"/>
    <w:qFormat/>
    <w:rsid w:val="00BC4FD1"/>
    <w:pPr>
      <w:keepNext/>
      <w:spacing w:before="240" w:after="120"/>
      <w:ind w:left="680" w:right="680"/>
      <w:outlineLvl w:val="2"/>
    </w:pPr>
    <w:rPr>
      <w:b/>
      <w:bCs/>
      <w:i/>
      <w:iCs/>
      <w:sz w:val="24"/>
      <w:szCs w:val="24"/>
    </w:rPr>
  </w:style>
  <w:style w:type="paragraph" w:styleId="Ttulo4">
    <w:name w:val="heading 4"/>
    <w:basedOn w:val="Normal"/>
    <w:next w:val="Num-DocParagraph"/>
    <w:link w:val="Ttulo4Car"/>
    <w:qFormat/>
    <w:rsid w:val="00BC4FD1"/>
    <w:pPr>
      <w:keepNext/>
      <w:spacing w:before="240" w:after="120"/>
      <w:ind w:left="680" w:right="680"/>
      <w:outlineLvl w:val="3"/>
    </w:pPr>
    <w:rPr>
      <w:i/>
      <w:iCs/>
      <w:sz w:val="24"/>
      <w:szCs w:val="24"/>
    </w:rPr>
  </w:style>
  <w:style w:type="paragraph" w:styleId="Ttulo5">
    <w:name w:val="heading 5"/>
    <w:basedOn w:val="Normal"/>
    <w:next w:val="Num-DocParagraph"/>
    <w:link w:val="Ttulo5Car"/>
    <w:qFormat/>
    <w:rsid w:val="00BC4FD1"/>
    <w:pPr>
      <w:keepNext/>
      <w:spacing w:before="240" w:after="120"/>
      <w:ind w:left="680" w:right="680"/>
      <w:outlineLvl w:val="4"/>
    </w:pPr>
    <w:rPr>
      <w:sz w:val="24"/>
      <w:szCs w:val="24"/>
    </w:rPr>
  </w:style>
  <w:style w:type="paragraph" w:styleId="Ttulo6">
    <w:name w:val="heading 6"/>
    <w:basedOn w:val="Normal"/>
    <w:next w:val="Normal"/>
    <w:link w:val="Ttulo6Car"/>
    <w:qFormat/>
    <w:rsid w:val="00473421"/>
    <w:pPr>
      <w:tabs>
        <w:tab w:val="left" w:pos="850"/>
        <w:tab w:val="left" w:pos="1191"/>
        <w:tab w:val="left" w:pos="1531"/>
      </w:tabs>
      <w:spacing w:before="240" w:after="60"/>
      <w:jc w:val="both"/>
      <w:outlineLvl w:val="5"/>
    </w:pPr>
    <w:rPr>
      <w:b/>
      <w:bCs/>
      <w:lang w:eastAsia="zh-CN"/>
    </w:rPr>
  </w:style>
  <w:style w:type="paragraph" w:styleId="Ttulo7">
    <w:name w:val="heading 7"/>
    <w:basedOn w:val="Normal"/>
    <w:next w:val="Normal"/>
    <w:link w:val="Ttulo7Car"/>
    <w:qFormat/>
    <w:rsid w:val="00473421"/>
    <w:pPr>
      <w:tabs>
        <w:tab w:val="left" w:pos="850"/>
        <w:tab w:val="left" w:pos="1191"/>
        <w:tab w:val="left" w:pos="1531"/>
      </w:tabs>
      <w:spacing w:before="240" w:after="60"/>
      <w:jc w:val="both"/>
      <w:outlineLvl w:val="6"/>
    </w:pPr>
    <w:rPr>
      <w:sz w:val="24"/>
      <w:szCs w:val="24"/>
      <w:lang w:eastAsia="zh-CN"/>
    </w:rPr>
  </w:style>
  <w:style w:type="paragraph" w:styleId="Ttulo8">
    <w:name w:val="heading 8"/>
    <w:basedOn w:val="Normal"/>
    <w:next w:val="Normal"/>
    <w:link w:val="Ttulo8Car"/>
    <w:qFormat/>
    <w:rsid w:val="00473421"/>
    <w:pPr>
      <w:tabs>
        <w:tab w:val="left" w:pos="850"/>
        <w:tab w:val="left" w:pos="1191"/>
        <w:tab w:val="left" w:pos="1531"/>
      </w:tabs>
      <w:spacing w:before="240" w:after="60"/>
      <w:jc w:val="both"/>
      <w:outlineLvl w:val="7"/>
    </w:pPr>
    <w:rPr>
      <w:i/>
      <w:iCs/>
      <w:sz w:val="24"/>
      <w:szCs w:val="24"/>
      <w:lang w:eastAsia="zh-CN"/>
    </w:rPr>
  </w:style>
  <w:style w:type="paragraph" w:styleId="Ttulo9">
    <w:name w:val="heading 9"/>
    <w:basedOn w:val="Normal"/>
    <w:next w:val="Normal"/>
    <w:link w:val="Ttulo9Car"/>
    <w:qFormat/>
    <w:rsid w:val="00473421"/>
    <w:pPr>
      <w:tabs>
        <w:tab w:val="left" w:pos="850"/>
        <w:tab w:val="left" w:pos="1191"/>
        <w:tab w:val="left" w:pos="1531"/>
      </w:tabs>
      <w:spacing w:before="240" w:after="60"/>
      <w:jc w:val="both"/>
      <w:outlineLvl w:val="8"/>
    </w:pPr>
    <w:rPr>
      <w:rFonts w:ascii="Arial" w:hAnsi="Arial" w:cs="Arial"/>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lumnsHeading">
    <w:name w:val="Columns Heading"/>
    <w:basedOn w:val="Normal"/>
    <w:rsid w:val="00BC4FD1"/>
    <w:rPr>
      <w:rFonts w:ascii="Arial Narrow" w:hAnsi="Arial Narrow"/>
      <w:sz w:val="17"/>
      <w:szCs w:val="17"/>
    </w:rPr>
  </w:style>
  <w:style w:type="paragraph" w:customStyle="1" w:styleId="Table">
    <w:name w:val="Table"/>
    <w:basedOn w:val="Normal"/>
    <w:rsid w:val="007821EE"/>
    <w:pPr>
      <w:tabs>
        <w:tab w:val="left" w:pos="850"/>
        <w:tab w:val="left" w:pos="1191"/>
        <w:tab w:val="left" w:pos="1531"/>
      </w:tabs>
      <w:spacing w:after="240"/>
      <w:jc w:val="center"/>
    </w:pPr>
  </w:style>
  <w:style w:type="paragraph" w:customStyle="1" w:styleId="TableNote">
    <w:name w:val="Table Note"/>
    <w:basedOn w:val="Normal"/>
    <w:rsid w:val="00A54F78"/>
    <w:pPr>
      <w:tabs>
        <w:tab w:val="left" w:pos="850"/>
        <w:tab w:val="left" w:pos="1191"/>
        <w:tab w:val="left" w:pos="1531"/>
      </w:tabs>
      <w:spacing w:before="60" w:after="120"/>
      <w:jc w:val="both"/>
    </w:pPr>
    <w:rPr>
      <w:sz w:val="18"/>
      <w:szCs w:val="18"/>
    </w:rPr>
  </w:style>
  <w:style w:type="paragraph" w:customStyle="1" w:styleId="TableSub-title">
    <w:name w:val="Table Sub-title"/>
    <w:basedOn w:val="Normal"/>
    <w:rsid w:val="00DB4443"/>
    <w:pPr>
      <w:keepNext/>
      <w:tabs>
        <w:tab w:val="left" w:pos="850"/>
        <w:tab w:val="left" w:pos="1191"/>
        <w:tab w:val="left" w:pos="1531"/>
      </w:tabs>
      <w:spacing w:after="120"/>
      <w:jc w:val="center"/>
    </w:pPr>
    <w:rPr>
      <w:sz w:val="18"/>
      <w:szCs w:val="18"/>
    </w:rPr>
  </w:style>
  <w:style w:type="paragraph" w:customStyle="1" w:styleId="TableTitle">
    <w:name w:val="Table Title"/>
    <w:basedOn w:val="Normal"/>
    <w:rsid w:val="002C056C"/>
    <w:pPr>
      <w:keepNext/>
      <w:tabs>
        <w:tab w:val="left" w:pos="850"/>
        <w:tab w:val="left" w:pos="1191"/>
        <w:tab w:val="left" w:pos="1531"/>
      </w:tabs>
      <w:spacing w:before="240" w:after="240"/>
      <w:jc w:val="center"/>
    </w:pPr>
    <w:rPr>
      <w:b/>
      <w:sz w:val="20"/>
      <w:szCs w:val="20"/>
    </w:rPr>
  </w:style>
  <w:style w:type="paragraph" w:customStyle="1" w:styleId="SourceDescription">
    <w:name w:val="Source Description"/>
    <w:aliases w:val="sr + Italic"/>
    <w:basedOn w:val="Normal"/>
    <w:link w:val="SourceDescriptionChar"/>
    <w:qFormat/>
    <w:rsid w:val="00A54F78"/>
    <w:pPr>
      <w:tabs>
        <w:tab w:val="left" w:pos="850"/>
        <w:tab w:val="left" w:pos="1191"/>
        <w:tab w:val="left" w:pos="1531"/>
      </w:tabs>
      <w:spacing w:before="60" w:after="360"/>
      <w:jc w:val="both"/>
    </w:pPr>
    <w:rPr>
      <w:sz w:val="18"/>
      <w:szCs w:val="18"/>
    </w:rPr>
  </w:style>
  <w:style w:type="paragraph" w:customStyle="1" w:styleId="RowsHeading">
    <w:name w:val="Rows Heading"/>
    <w:basedOn w:val="Normal"/>
    <w:rsid w:val="00DB4443"/>
    <w:rPr>
      <w:rFonts w:ascii="Arial Narrow" w:hAnsi="Arial Narrow"/>
      <w:sz w:val="17"/>
      <w:szCs w:val="17"/>
    </w:rPr>
  </w:style>
  <w:style w:type="paragraph" w:customStyle="1" w:styleId="Cell">
    <w:name w:val="Cell"/>
    <w:basedOn w:val="Normal"/>
    <w:rsid w:val="00BC4FD1"/>
    <w:rPr>
      <w:rFonts w:ascii="Arial Narrow" w:hAnsi="Arial Narrow"/>
      <w:sz w:val="17"/>
      <w:szCs w:val="17"/>
    </w:rPr>
  </w:style>
  <w:style w:type="paragraph" w:styleId="Epgrafe">
    <w:name w:val="caption"/>
    <w:basedOn w:val="Normal"/>
    <w:next w:val="Normal"/>
    <w:qFormat/>
    <w:rsid w:val="007821EE"/>
    <w:pPr>
      <w:spacing w:before="120" w:after="120"/>
    </w:pPr>
    <w:rPr>
      <w:b/>
    </w:rPr>
  </w:style>
  <w:style w:type="paragraph" w:customStyle="1" w:styleId="AnnexHeading">
    <w:name w:val="Annex Heading"/>
    <w:basedOn w:val="Normal"/>
    <w:next w:val="Textodecuerpo"/>
    <w:rsid w:val="00BC4FD1"/>
    <w:pPr>
      <w:keepNext/>
      <w:spacing w:before="1200" w:after="720"/>
      <w:jc w:val="center"/>
    </w:pPr>
    <w:rPr>
      <w:b/>
      <w:bCs/>
      <w:sz w:val="28"/>
      <w:szCs w:val="28"/>
    </w:rPr>
  </w:style>
  <w:style w:type="paragraph" w:styleId="Textodecuerpo">
    <w:name w:val="Body Text"/>
    <w:basedOn w:val="Normal"/>
    <w:link w:val="TextodecuerpoCar"/>
    <w:qFormat/>
    <w:rsid w:val="00BC4FD1"/>
    <w:pPr>
      <w:tabs>
        <w:tab w:val="left" w:pos="1361"/>
        <w:tab w:val="left" w:pos="1701"/>
        <w:tab w:val="left" w:pos="2041"/>
      </w:tabs>
      <w:spacing w:after="120"/>
      <w:ind w:left="680" w:right="680" w:firstLine="340"/>
      <w:jc w:val="both"/>
    </w:pPr>
    <w:rPr>
      <w:lang w:val="en-US"/>
    </w:rPr>
  </w:style>
  <w:style w:type="paragraph" w:customStyle="1" w:styleId="Annotation">
    <w:name w:val="Annotation"/>
    <w:basedOn w:val="Textodecuerpo"/>
    <w:rsid w:val="00BC4FD1"/>
    <w:pPr>
      <w:ind w:firstLine="0"/>
      <w:jc w:val="left"/>
    </w:pPr>
    <w:rPr>
      <w:b/>
      <w:bCs/>
      <w:i/>
      <w:iCs/>
    </w:rPr>
  </w:style>
  <w:style w:type="paragraph" w:customStyle="1" w:styleId="AppendixHeading">
    <w:name w:val="Appendix Heading"/>
    <w:basedOn w:val="Normal"/>
    <w:next w:val="Textodecuerpo"/>
    <w:rsid w:val="00BC4FD1"/>
    <w:pPr>
      <w:keepNext/>
      <w:spacing w:before="1200" w:after="720"/>
      <w:jc w:val="center"/>
    </w:pPr>
    <w:rPr>
      <w:b/>
      <w:bCs/>
      <w:sz w:val="28"/>
      <w:szCs w:val="28"/>
    </w:rPr>
  </w:style>
  <w:style w:type="paragraph" w:customStyle="1" w:styleId="Biblio-Entry">
    <w:name w:val="Biblio-Entry"/>
    <w:basedOn w:val="Textodecuerpo"/>
    <w:link w:val="Biblio-EntryChar"/>
    <w:rsid w:val="00BC4FD1"/>
    <w:pPr>
      <w:ind w:left="964" w:hanging="284"/>
    </w:pPr>
  </w:style>
  <w:style w:type="paragraph" w:customStyle="1" w:styleId="BibliographyHeading">
    <w:name w:val="Bibliography Heading"/>
    <w:basedOn w:val="Normal"/>
    <w:next w:val="Biblio-Entry"/>
    <w:rsid w:val="00BC4FD1"/>
    <w:pPr>
      <w:keepNext/>
      <w:spacing w:before="1200" w:after="720"/>
      <w:jc w:val="center"/>
    </w:pPr>
    <w:rPr>
      <w:bCs/>
      <w:i/>
      <w:sz w:val="32"/>
      <w:szCs w:val="32"/>
      <w:lang w:val="en-US"/>
    </w:rPr>
  </w:style>
  <w:style w:type="paragraph" w:customStyle="1" w:styleId="BoxHeading">
    <w:name w:val="Box Heading"/>
    <w:basedOn w:val="Normal"/>
    <w:next w:val="BoxBodyText"/>
    <w:rsid w:val="00BC4FD1"/>
    <w:pPr>
      <w:spacing w:before="240" w:after="240"/>
      <w:jc w:val="center"/>
    </w:pPr>
    <w:rPr>
      <w:rFonts w:cs="Arial"/>
      <w:b/>
      <w:bCs/>
    </w:rPr>
  </w:style>
  <w:style w:type="paragraph" w:customStyle="1" w:styleId="ConclusionHeading">
    <w:name w:val="Conclusion Heading"/>
    <w:basedOn w:val="Normal"/>
    <w:next w:val="Textodecuerpo"/>
    <w:rsid w:val="00BC4FD1"/>
    <w:pPr>
      <w:keepNext/>
      <w:spacing w:before="1200" w:after="720"/>
      <w:jc w:val="center"/>
    </w:pPr>
    <w:rPr>
      <w:b/>
      <w:bCs/>
      <w:sz w:val="28"/>
      <w:szCs w:val="28"/>
    </w:rPr>
  </w:style>
  <w:style w:type="paragraph" w:styleId="Textonotaalfinal">
    <w:name w:val="endnote text"/>
    <w:basedOn w:val="Normal"/>
    <w:link w:val="TextonotaalfinalCar"/>
    <w:uiPriority w:val="99"/>
    <w:rsid w:val="003348D7"/>
    <w:pPr>
      <w:spacing w:after="120"/>
      <w:ind w:left="1360" w:right="680" w:hanging="680"/>
      <w:jc w:val="both"/>
    </w:pPr>
    <w:rPr>
      <w:sz w:val="21"/>
      <w:szCs w:val="21"/>
    </w:rPr>
  </w:style>
  <w:style w:type="paragraph" w:customStyle="1" w:styleId="EndnotesHeading">
    <w:name w:val="Endnotes Heading"/>
    <w:basedOn w:val="Normal"/>
    <w:next w:val="Textodecuerpo"/>
    <w:rsid w:val="00BC4FD1"/>
    <w:pPr>
      <w:keepNext/>
      <w:spacing w:before="1200" w:after="480"/>
      <w:jc w:val="center"/>
    </w:pPr>
    <w:rPr>
      <w:b/>
      <w:bCs/>
      <w:sz w:val="28"/>
      <w:szCs w:val="28"/>
    </w:rPr>
  </w:style>
  <w:style w:type="paragraph" w:customStyle="1" w:styleId="ExecutiveSummaryHeading">
    <w:name w:val="Executive Summary Heading"/>
    <w:basedOn w:val="Normal"/>
    <w:next w:val="Textodecuerpo"/>
    <w:rsid w:val="00BC4FD1"/>
    <w:pPr>
      <w:keepNext/>
      <w:spacing w:before="1200" w:after="720"/>
      <w:jc w:val="center"/>
    </w:pPr>
    <w:rPr>
      <w:b/>
      <w:bCs/>
      <w:sz w:val="28"/>
      <w:szCs w:val="28"/>
    </w:rPr>
  </w:style>
  <w:style w:type="paragraph" w:customStyle="1" w:styleId="FigureNote">
    <w:name w:val="Figure Note"/>
    <w:basedOn w:val="Normal"/>
    <w:rsid w:val="00A54F78"/>
    <w:pPr>
      <w:spacing w:before="60" w:after="120"/>
      <w:jc w:val="both"/>
    </w:pPr>
    <w:rPr>
      <w:rFonts w:cs="Arial"/>
      <w:sz w:val="18"/>
      <w:szCs w:val="18"/>
    </w:rPr>
  </w:style>
  <w:style w:type="paragraph" w:customStyle="1" w:styleId="FigureSub-title">
    <w:name w:val="Figure Sub-title"/>
    <w:basedOn w:val="Normal"/>
    <w:rsid w:val="00E012E7"/>
    <w:pPr>
      <w:keepNext/>
      <w:spacing w:after="120"/>
      <w:jc w:val="center"/>
    </w:pPr>
    <w:rPr>
      <w:rFonts w:cs="Arial"/>
      <w:sz w:val="18"/>
      <w:szCs w:val="18"/>
    </w:rPr>
  </w:style>
  <w:style w:type="paragraph" w:customStyle="1" w:styleId="FigureTitle">
    <w:name w:val="Figure Title"/>
    <w:basedOn w:val="Normal"/>
    <w:next w:val="FigureSub-title"/>
    <w:rsid w:val="00E012E7"/>
    <w:pPr>
      <w:keepNext/>
      <w:spacing w:before="240" w:after="120"/>
      <w:jc w:val="center"/>
    </w:pPr>
    <w:rPr>
      <w:rFonts w:cs="Arial"/>
      <w:b/>
      <w:bCs/>
      <w:sz w:val="20"/>
      <w:szCs w:val="20"/>
    </w:rPr>
  </w:style>
  <w:style w:type="paragraph" w:customStyle="1" w:styleId="ForewordHeading">
    <w:name w:val="Foreword Heading"/>
    <w:basedOn w:val="Normal"/>
    <w:next w:val="Textodecuerpo"/>
    <w:link w:val="ForewordHeadingChar"/>
    <w:rsid w:val="00BC4FD1"/>
    <w:pPr>
      <w:keepNext/>
      <w:spacing w:before="1200" w:after="720"/>
      <w:jc w:val="center"/>
    </w:pPr>
    <w:rPr>
      <w:bCs/>
      <w:i/>
      <w:sz w:val="32"/>
      <w:szCs w:val="32"/>
    </w:rPr>
  </w:style>
  <w:style w:type="paragraph" w:customStyle="1" w:styleId="GlossaryHeading">
    <w:name w:val="Glossary Heading"/>
    <w:basedOn w:val="Normal"/>
    <w:next w:val="Textodecuerpo"/>
    <w:rsid w:val="00BC4FD1"/>
    <w:pPr>
      <w:keepNext/>
      <w:spacing w:before="1200" w:after="720"/>
      <w:jc w:val="center"/>
    </w:pPr>
    <w:rPr>
      <w:bCs/>
      <w:i/>
      <w:sz w:val="32"/>
      <w:szCs w:val="32"/>
    </w:rPr>
  </w:style>
  <w:style w:type="paragraph" w:customStyle="1" w:styleId="Graphic">
    <w:name w:val="Graphic"/>
    <w:basedOn w:val="Normal"/>
    <w:next w:val="Textodecuerpo"/>
    <w:rsid w:val="00BC4FD1"/>
    <w:pPr>
      <w:spacing w:after="240"/>
      <w:jc w:val="center"/>
    </w:pPr>
  </w:style>
  <w:style w:type="paragraph" w:customStyle="1" w:styleId="HiddenText">
    <w:name w:val="Hidden Text"/>
    <w:basedOn w:val="Textodecuerpo"/>
    <w:rsid w:val="00BC4FD1"/>
    <w:pPr>
      <w:keepNext/>
      <w:spacing w:after="0"/>
      <w:ind w:left="1021" w:right="0" w:firstLine="0"/>
    </w:pPr>
    <w:rPr>
      <w:sz w:val="2"/>
      <w:szCs w:val="2"/>
    </w:rPr>
  </w:style>
  <w:style w:type="paragraph" w:customStyle="1" w:styleId="Highlight">
    <w:name w:val="Highlight"/>
    <w:basedOn w:val="Textodecuerpo"/>
    <w:rsid w:val="00E012E7"/>
    <w:pPr>
      <w:ind w:left="1021" w:firstLine="0"/>
    </w:pPr>
    <w:rPr>
      <w:i/>
      <w:iCs/>
    </w:rPr>
  </w:style>
  <w:style w:type="paragraph" w:styleId="ndice1">
    <w:name w:val="index 1"/>
    <w:basedOn w:val="Normal"/>
    <w:next w:val="Normal"/>
    <w:autoRedefine/>
    <w:semiHidden/>
    <w:rsid w:val="00BC4FD1"/>
    <w:pPr>
      <w:ind w:left="220" w:hanging="220"/>
    </w:pPr>
  </w:style>
  <w:style w:type="paragraph" w:styleId="Ttulodendice">
    <w:name w:val="index heading"/>
    <w:basedOn w:val="Normal"/>
    <w:next w:val="Textodecuerpo"/>
    <w:semiHidden/>
    <w:rsid w:val="00BC4FD1"/>
    <w:pPr>
      <w:keepNext/>
      <w:spacing w:before="1200" w:after="720"/>
      <w:jc w:val="center"/>
    </w:pPr>
    <w:rPr>
      <w:b/>
      <w:bCs/>
      <w:sz w:val="28"/>
      <w:szCs w:val="28"/>
    </w:rPr>
  </w:style>
  <w:style w:type="paragraph" w:customStyle="1" w:styleId="IntroductionHeading">
    <w:name w:val="Introduction Heading"/>
    <w:basedOn w:val="Normal"/>
    <w:next w:val="Textodecuerpo"/>
    <w:rsid w:val="00BC4FD1"/>
    <w:pPr>
      <w:keepNext/>
      <w:spacing w:before="1200" w:after="720"/>
      <w:jc w:val="center"/>
    </w:pPr>
    <w:rPr>
      <w:bCs/>
      <w:i/>
      <w:sz w:val="32"/>
      <w:szCs w:val="32"/>
    </w:rPr>
  </w:style>
  <w:style w:type="paragraph" w:styleId="Lista">
    <w:name w:val="List"/>
    <w:basedOn w:val="Normal"/>
    <w:rsid w:val="00BC4FD1"/>
    <w:pPr>
      <w:spacing w:after="120"/>
      <w:ind w:left="1305" w:right="680" w:hanging="284"/>
      <w:jc w:val="both"/>
    </w:pPr>
  </w:style>
  <w:style w:type="paragraph" w:styleId="Lista2">
    <w:name w:val="List 2"/>
    <w:basedOn w:val="Normal"/>
    <w:rsid w:val="00BC4FD1"/>
    <w:pPr>
      <w:spacing w:after="120"/>
      <w:ind w:left="1701" w:right="680" w:hanging="340"/>
      <w:jc w:val="both"/>
    </w:pPr>
  </w:style>
  <w:style w:type="paragraph" w:styleId="Lista3">
    <w:name w:val="List 3"/>
    <w:basedOn w:val="Normal"/>
    <w:rsid w:val="00BC4FD1"/>
    <w:pPr>
      <w:tabs>
        <w:tab w:val="left" w:pos="2041"/>
      </w:tabs>
      <w:spacing w:after="120"/>
      <w:ind w:left="2041" w:right="680" w:hanging="340"/>
      <w:jc w:val="both"/>
    </w:pPr>
  </w:style>
  <w:style w:type="paragraph" w:styleId="Lista4">
    <w:name w:val="List 4"/>
    <w:basedOn w:val="Normal"/>
    <w:rsid w:val="00BC4FD1"/>
    <w:pPr>
      <w:spacing w:after="120"/>
      <w:ind w:left="2381" w:right="680" w:hanging="340"/>
      <w:jc w:val="both"/>
    </w:pPr>
  </w:style>
  <w:style w:type="paragraph" w:styleId="Lista5">
    <w:name w:val="List 5"/>
    <w:basedOn w:val="Normal"/>
    <w:rsid w:val="00BC4FD1"/>
    <w:pPr>
      <w:spacing w:after="120"/>
      <w:ind w:left="2721" w:right="680" w:hanging="340"/>
      <w:jc w:val="both"/>
    </w:pPr>
  </w:style>
  <w:style w:type="paragraph" w:styleId="Listaconvietas">
    <w:name w:val="List Bullet"/>
    <w:basedOn w:val="Normal"/>
    <w:rsid w:val="00BC4FD1"/>
    <w:pPr>
      <w:numPr>
        <w:numId w:val="1"/>
      </w:numPr>
      <w:tabs>
        <w:tab w:val="clear" w:pos="850"/>
        <w:tab w:val="left" w:pos="1361"/>
      </w:tabs>
      <w:spacing w:after="120"/>
      <w:ind w:left="1361" w:right="680" w:hanging="340"/>
      <w:jc w:val="both"/>
    </w:pPr>
  </w:style>
  <w:style w:type="paragraph" w:styleId="Listaconvietas2">
    <w:name w:val="List Bullet 2"/>
    <w:basedOn w:val="Normal"/>
    <w:rsid w:val="00BC4FD1"/>
    <w:pPr>
      <w:numPr>
        <w:numId w:val="2"/>
      </w:numPr>
      <w:tabs>
        <w:tab w:val="clear" w:pos="1190"/>
        <w:tab w:val="left" w:pos="1701"/>
      </w:tabs>
      <w:spacing w:after="120"/>
      <w:ind w:left="1701" w:right="680"/>
      <w:jc w:val="both"/>
    </w:pPr>
  </w:style>
  <w:style w:type="paragraph" w:styleId="Listaconvietas3">
    <w:name w:val="List Bullet 3"/>
    <w:basedOn w:val="Normal"/>
    <w:rsid w:val="00BC4FD1"/>
    <w:pPr>
      <w:numPr>
        <w:numId w:val="3"/>
      </w:numPr>
      <w:tabs>
        <w:tab w:val="clear" w:pos="1474"/>
        <w:tab w:val="left" w:pos="2041"/>
      </w:tabs>
      <w:spacing w:after="120"/>
      <w:ind w:left="2041" w:right="680"/>
      <w:jc w:val="both"/>
    </w:pPr>
  </w:style>
  <w:style w:type="paragraph" w:styleId="Listaconvietas4">
    <w:name w:val="List Bullet 4"/>
    <w:basedOn w:val="Normal"/>
    <w:rsid w:val="00BC4FD1"/>
    <w:pPr>
      <w:numPr>
        <w:numId w:val="4"/>
      </w:numPr>
      <w:tabs>
        <w:tab w:val="clear" w:pos="1757"/>
        <w:tab w:val="left" w:pos="2381"/>
      </w:tabs>
      <w:spacing w:after="120"/>
      <w:ind w:left="2381" w:right="680"/>
      <w:jc w:val="both"/>
    </w:pPr>
  </w:style>
  <w:style w:type="paragraph" w:styleId="Listaconvietas5">
    <w:name w:val="List Bullet 5"/>
    <w:basedOn w:val="Normal"/>
    <w:rsid w:val="00BC4FD1"/>
    <w:pPr>
      <w:numPr>
        <w:numId w:val="5"/>
      </w:numPr>
      <w:tabs>
        <w:tab w:val="clear" w:pos="2041"/>
        <w:tab w:val="left" w:pos="2722"/>
      </w:tabs>
      <w:spacing w:after="120"/>
      <w:ind w:left="2721" w:right="680"/>
      <w:jc w:val="both"/>
    </w:pPr>
  </w:style>
  <w:style w:type="paragraph" w:styleId="Continuarlista">
    <w:name w:val="List Continue"/>
    <w:basedOn w:val="Normal"/>
    <w:rsid w:val="00BC4FD1"/>
    <w:pPr>
      <w:spacing w:after="120"/>
      <w:ind w:left="1021" w:right="680"/>
      <w:jc w:val="both"/>
    </w:pPr>
  </w:style>
  <w:style w:type="paragraph" w:styleId="Continuarlista2">
    <w:name w:val="List Continue 2"/>
    <w:basedOn w:val="Normal"/>
    <w:link w:val="Continuarlista2Car"/>
    <w:rsid w:val="00BC4FD1"/>
    <w:pPr>
      <w:spacing w:after="120"/>
      <w:ind w:left="1361" w:right="680"/>
      <w:jc w:val="both"/>
    </w:pPr>
  </w:style>
  <w:style w:type="paragraph" w:styleId="Continuarlista3">
    <w:name w:val="List Continue 3"/>
    <w:basedOn w:val="Normal"/>
    <w:rsid w:val="00BC4FD1"/>
    <w:pPr>
      <w:spacing w:after="120"/>
      <w:ind w:left="1701" w:right="680"/>
      <w:jc w:val="both"/>
    </w:pPr>
  </w:style>
  <w:style w:type="paragraph" w:styleId="Continuarlista4">
    <w:name w:val="List Continue 4"/>
    <w:basedOn w:val="Normal"/>
    <w:rsid w:val="00BC4FD1"/>
    <w:pPr>
      <w:spacing w:after="120"/>
      <w:ind w:left="2041" w:right="680"/>
      <w:jc w:val="both"/>
    </w:pPr>
  </w:style>
  <w:style w:type="paragraph" w:styleId="Continuarlista5">
    <w:name w:val="List Continue 5"/>
    <w:basedOn w:val="Normal"/>
    <w:rsid w:val="00BC4FD1"/>
    <w:pPr>
      <w:spacing w:after="120"/>
      <w:ind w:left="2381" w:right="680"/>
      <w:jc w:val="both"/>
    </w:pPr>
  </w:style>
  <w:style w:type="paragraph" w:styleId="Listaconnmeros">
    <w:name w:val="List Number"/>
    <w:basedOn w:val="Normal"/>
    <w:rsid w:val="00BC4FD1"/>
    <w:pPr>
      <w:numPr>
        <w:numId w:val="6"/>
      </w:numPr>
      <w:tabs>
        <w:tab w:val="clear" w:pos="850"/>
        <w:tab w:val="left" w:pos="1361"/>
      </w:tabs>
      <w:spacing w:after="120"/>
      <w:ind w:left="1361" w:right="680" w:hanging="340"/>
      <w:jc w:val="both"/>
    </w:pPr>
  </w:style>
  <w:style w:type="paragraph" w:styleId="Listaconnmeros2">
    <w:name w:val="List Number 2"/>
    <w:basedOn w:val="Normal"/>
    <w:rsid w:val="00BC4FD1"/>
    <w:pPr>
      <w:numPr>
        <w:ilvl w:val="1"/>
        <w:numId w:val="6"/>
      </w:numPr>
      <w:tabs>
        <w:tab w:val="clear" w:pos="1191"/>
        <w:tab w:val="num" w:pos="1701"/>
      </w:tabs>
      <w:spacing w:after="120"/>
      <w:ind w:left="1701" w:right="680" w:hanging="340"/>
      <w:jc w:val="both"/>
    </w:pPr>
  </w:style>
  <w:style w:type="paragraph" w:styleId="Listaconnmeros3">
    <w:name w:val="List Number 3"/>
    <w:basedOn w:val="Normal"/>
    <w:rsid w:val="00BC4FD1"/>
    <w:pPr>
      <w:numPr>
        <w:ilvl w:val="2"/>
        <w:numId w:val="6"/>
      </w:numPr>
      <w:tabs>
        <w:tab w:val="clear" w:pos="1474"/>
        <w:tab w:val="num" w:pos="2041"/>
      </w:tabs>
      <w:spacing w:after="120"/>
      <w:ind w:left="2041" w:right="680"/>
      <w:jc w:val="both"/>
    </w:pPr>
  </w:style>
  <w:style w:type="paragraph" w:styleId="Listaconnmeros4">
    <w:name w:val="List Number 4"/>
    <w:basedOn w:val="Normal"/>
    <w:rsid w:val="00BC4FD1"/>
    <w:pPr>
      <w:numPr>
        <w:ilvl w:val="3"/>
        <w:numId w:val="6"/>
      </w:numPr>
      <w:tabs>
        <w:tab w:val="clear" w:pos="1757"/>
        <w:tab w:val="num" w:pos="2381"/>
      </w:tabs>
      <w:spacing w:after="120"/>
      <w:ind w:left="2381" w:right="680"/>
      <w:jc w:val="both"/>
    </w:pPr>
  </w:style>
  <w:style w:type="paragraph" w:styleId="Listaconnmeros5">
    <w:name w:val="List Number 5"/>
    <w:basedOn w:val="Normal"/>
    <w:rsid w:val="00BC4FD1"/>
    <w:pPr>
      <w:numPr>
        <w:ilvl w:val="4"/>
        <w:numId w:val="6"/>
      </w:numPr>
      <w:tabs>
        <w:tab w:val="clear" w:pos="2041"/>
        <w:tab w:val="left" w:pos="2722"/>
      </w:tabs>
      <w:spacing w:after="120"/>
      <w:ind w:left="2721" w:right="680"/>
      <w:jc w:val="both"/>
    </w:pPr>
  </w:style>
  <w:style w:type="paragraph" w:customStyle="1" w:styleId="Num-ChapParagraph">
    <w:name w:val="Num-Chap Paragraph"/>
    <w:basedOn w:val="Textodecuerpo"/>
    <w:rsid w:val="00DB4443"/>
    <w:pPr>
      <w:tabs>
        <w:tab w:val="clear" w:pos="1701"/>
        <w:tab w:val="clear" w:pos="2041"/>
      </w:tabs>
      <w:ind w:firstLine="0"/>
    </w:pPr>
  </w:style>
  <w:style w:type="paragraph" w:customStyle="1" w:styleId="Num-DocParagraph">
    <w:name w:val="Num-Doc Paragraph"/>
    <w:basedOn w:val="Textodecuerpo"/>
    <w:link w:val="Num-DocParagraphChar"/>
    <w:qFormat/>
    <w:rsid w:val="00DB4443"/>
    <w:pPr>
      <w:ind w:firstLine="0"/>
    </w:pPr>
  </w:style>
  <w:style w:type="paragraph" w:customStyle="1" w:styleId="PartHeading">
    <w:name w:val="Part Heading"/>
    <w:basedOn w:val="Normal"/>
    <w:next w:val="Textodecuerpo"/>
    <w:rsid w:val="00BC4FD1"/>
    <w:pPr>
      <w:keepNext/>
      <w:spacing w:before="1200" w:after="720"/>
      <w:jc w:val="center"/>
    </w:pPr>
    <w:rPr>
      <w:b/>
      <w:bCs/>
      <w:sz w:val="28"/>
      <w:szCs w:val="28"/>
    </w:rPr>
  </w:style>
  <w:style w:type="paragraph" w:customStyle="1" w:styleId="SummaryHeading">
    <w:name w:val="Summary Heading"/>
    <w:basedOn w:val="Normal"/>
    <w:next w:val="Textodecuerpo"/>
    <w:rsid w:val="00BC4FD1"/>
    <w:pPr>
      <w:keepNext/>
      <w:spacing w:before="1200" w:after="720"/>
      <w:jc w:val="center"/>
    </w:pPr>
    <w:rPr>
      <w:b/>
      <w:bCs/>
      <w:sz w:val="28"/>
      <w:szCs w:val="28"/>
    </w:rPr>
  </w:style>
  <w:style w:type="paragraph" w:customStyle="1" w:styleId="TableofContentsHeading">
    <w:name w:val="Table of Contents Heading"/>
    <w:basedOn w:val="Normal"/>
    <w:next w:val="Textodecuerpo"/>
    <w:rsid w:val="00BC4FD1"/>
    <w:pPr>
      <w:keepNext/>
      <w:spacing w:before="1200" w:after="720"/>
      <w:jc w:val="center"/>
    </w:pPr>
    <w:rPr>
      <w:bCs/>
      <w:i/>
      <w:sz w:val="32"/>
      <w:szCs w:val="32"/>
    </w:rPr>
  </w:style>
  <w:style w:type="paragraph" w:styleId="TDC1">
    <w:name w:val="toc 1"/>
    <w:basedOn w:val="Normal"/>
    <w:next w:val="Normal"/>
    <w:uiPriority w:val="39"/>
    <w:qFormat/>
    <w:rsid w:val="00BC4FD1"/>
    <w:pPr>
      <w:tabs>
        <w:tab w:val="right" w:leader="dot" w:pos="6803"/>
      </w:tabs>
      <w:spacing w:before="120" w:after="120"/>
      <w:jc w:val="both"/>
    </w:pPr>
    <w:rPr>
      <w:b/>
    </w:rPr>
  </w:style>
  <w:style w:type="paragraph" w:styleId="TDC2">
    <w:name w:val="toc 2"/>
    <w:basedOn w:val="Normal"/>
    <w:next w:val="Normal"/>
    <w:uiPriority w:val="39"/>
    <w:qFormat/>
    <w:rsid w:val="00BC4FD1"/>
    <w:pPr>
      <w:tabs>
        <w:tab w:val="right" w:leader="dot" w:pos="6803"/>
      </w:tabs>
      <w:ind w:left="198"/>
      <w:jc w:val="both"/>
    </w:pPr>
  </w:style>
  <w:style w:type="paragraph" w:styleId="TDC3">
    <w:name w:val="toc 3"/>
    <w:basedOn w:val="Normal"/>
    <w:next w:val="Normal"/>
    <w:qFormat/>
    <w:rsid w:val="00BC4FD1"/>
    <w:pPr>
      <w:tabs>
        <w:tab w:val="right" w:leader="dot" w:pos="6803"/>
      </w:tabs>
      <w:ind w:left="397"/>
      <w:jc w:val="both"/>
    </w:pPr>
  </w:style>
  <w:style w:type="paragraph" w:styleId="TDC4">
    <w:name w:val="toc 4"/>
    <w:basedOn w:val="Normal"/>
    <w:next w:val="Normal"/>
    <w:qFormat/>
    <w:rsid w:val="00BC4FD1"/>
    <w:pPr>
      <w:tabs>
        <w:tab w:val="right" w:leader="dot" w:pos="6803"/>
      </w:tabs>
      <w:ind w:left="595"/>
      <w:jc w:val="both"/>
    </w:pPr>
    <w:rPr>
      <w:noProof/>
    </w:rPr>
  </w:style>
  <w:style w:type="paragraph" w:styleId="TDC5">
    <w:name w:val="toc 5"/>
    <w:basedOn w:val="Normal"/>
    <w:next w:val="Normal"/>
    <w:qFormat/>
    <w:rsid w:val="00BC4FD1"/>
    <w:pPr>
      <w:tabs>
        <w:tab w:val="right" w:leader="dot" w:pos="6803"/>
      </w:tabs>
      <w:ind w:left="794"/>
      <w:jc w:val="both"/>
    </w:pPr>
    <w:rPr>
      <w:noProof/>
    </w:rPr>
  </w:style>
  <w:style w:type="paragraph" w:customStyle="1" w:styleId="Abstract">
    <w:name w:val="Abstract"/>
    <w:basedOn w:val="Normal"/>
    <w:rsid w:val="00BC4FD1"/>
    <w:pPr>
      <w:pBdr>
        <w:top w:val="single" w:sz="4" w:space="12" w:color="auto"/>
        <w:left w:val="single" w:sz="4" w:space="12" w:color="auto"/>
        <w:bottom w:val="single" w:sz="4" w:space="12" w:color="auto"/>
        <w:right w:val="single" w:sz="4" w:space="12" w:color="auto"/>
      </w:pBdr>
      <w:tabs>
        <w:tab w:val="left" w:pos="1758"/>
      </w:tabs>
      <w:spacing w:after="120"/>
      <w:ind w:left="680" w:right="680"/>
      <w:jc w:val="both"/>
    </w:pPr>
    <w:rPr>
      <w:i/>
      <w:lang w:val="en-US"/>
    </w:rPr>
  </w:style>
  <w:style w:type="paragraph" w:customStyle="1" w:styleId="Author">
    <w:name w:val="Author"/>
    <w:basedOn w:val="Textodecuerpo"/>
    <w:link w:val="AuthorChar"/>
    <w:rsid w:val="00BC4FD1"/>
    <w:pPr>
      <w:ind w:firstLine="0"/>
      <w:jc w:val="center"/>
    </w:pPr>
    <w:rPr>
      <w:sz w:val="24"/>
      <w:szCs w:val="24"/>
    </w:rPr>
  </w:style>
  <w:style w:type="paragraph" w:customStyle="1" w:styleId="Citation">
    <w:name w:val="Citation"/>
    <w:basedOn w:val="Textodecuerpo"/>
    <w:link w:val="CitationChar"/>
    <w:rsid w:val="00BC4FD1"/>
    <w:pPr>
      <w:ind w:left="1021" w:right="1021" w:firstLine="0"/>
      <w:jc w:val="left"/>
    </w:pPr>
    <w:rPr>
      <w:i/>
    </w:rPr>
  </w:style>
  <w:style w:type="paragraph" w:customStyle="1" w:styleId="Chart">
    <w:name w:val="Chart"/>
    <w:basedOn w:val="Normal"/>
    <w:next w:val="Textodecuerpo"/>
    <w:rsid w:val="00BC4FD1"/>
    <w:pPr>
      <w:spacing w:after="240"/>
      <w:jc w:val="center"/>
    </w:pPr>
    <w:rPr>
      <w:lang w:val="en-US"/>
    </w:rPr>
  </w:style>
  <w:style w:type="paragraph" w:customStyle="1" w:styleId="ChartSub-title">
    <w:name w:val="Chart Sub-title"/>
    <w:basedOn w:val="Normal"/>
    <w:rsid w:val="00BC4FD1"/>
    <w:pPr>
      <w:keepNext/>
      <w:spacing w:after="120"/>
      <w:jc w:val="center"/>
    </w:pPr>
    <w:rPr>
      <w:rFonts w:cs="Arial"/>
      <w:sz w:val="18"/>
      <w:szCs w:val="18"/>
      <w:lang w:val="en-US"/>
    </w:rPr>
  </w:style>
  <w:style w:type="paragraph" w:customStyle="1" w:styleId="ChartTitle">
    <w:name w:val="Chart Title"/>
    <w:basedOn w:val="Normal"/>
    <w:next w:val="ChartSub-title"/>
    <w:rsid w:val="00BC4FD1"/>
    <w:pPr>
      <w:keepNext/>
      <w:spacing w:after="120"/>
      <w:jc w:val="center"/>
    </w:pPr>
    <w:rPr>
      <w:rFonts w:cs="Arial"/>
      <w:b/>
      <w:sz w:val="20"/>
      <w:szCs w:val="20"/>
      <w:lang w:val="en-US"/>
    </w:rPr>
  </w:style>
  <w:style w:type="paragraph" w:customStyle="1" w:styleId="ChartNote">
    <w:name w:val="Chart Note"/>
    <w:basedOn w:val="Normal"/>
    <w:rsid w:val="00A54F78"/>
    <w:pPr>
      <w:spacing w:after="120"/>
      <w:ind w:left="680" w:right="680"/>
      <w:jc w:val="both"/>
    </w:pPr>
    <w:rPr>
      <w:rFonts w:cs="Arial"/>
      <w:sz w:val="18"/>
      <w:szCs w:val="18"/>
      <w:lang w:val="en-US"/>
    </w:rPr>
  </w:style>
  <w:style w:type="paragraph" w:customStyle="1" w:styleId="BoxHeading2">
    <w:name w:val="Box Heading 2"/>
    <w:basedOn w:val="Normal"/>
    <w:next w:val="BoxBodyText"/>
    <w:rsid w:val="00BC4FD1"/>
    <w:pPr>
      <w:spacing w:before="240" w:after="120"/>
    </w:pPr>
    <w:rPr>
      <w:rFonts w:cs="Arial"/>
      <w:b/>
      <w:sz w:val="21"/>
      <w:szCs w:val="21"/>
      <w:lang w:val="en-US"/>
    </w:rPr>
  </w:style>
  <w:style w:type="paragraph" w:customStyle="1" w:styleId="BoxHeading3">
    <w:name w:val="Box Heading 3"/>
    <w:basedOn w:val="Normal"/>
    <w:next w:val="BoxBodyText"/>
    <w:rsid w:val="00BC4FD1"/>
    <w:pPr>
      <w:spacing w:before="120" w:after="120"/>
    </w:pPr>
    <w:rPr>
      <w:rFonts w:cs="Arial"/>
      <w:b/>
      <w:i/>
      <w:sz w:val="21"/>
      <w:szCs w:val="21"/>
      <w:lang w:val="en-US"/>
    </w:rPr>
  </w:style>
  <w:style w:type="paragraph" w:customStyle="1" w:styleId="BoxNote">
    <w:name w:val="Box Note"/>
    <w:basedOn w:val="Normal"/>
    <w:rsid w:val="00152644"/>
    <w:pPr>
      <w:tabs>
        <w:tab w:val="left" w:pos="340"/>
      </w:tabs>
      <w:spacing w:after="120"/>
      <w:jc w:val="both"/>
    </w:pPr>
    <w:rPr>
      <w:rFonts w:cs="Arial"/>
      <w:sz w:val="18"/>
      <w:szCs w:val="18"/>
      <w:lang w:val="en-US"/>
    </w:rPr>
  </w:style>
  <w:style w:type="paragraph" w:customStyle="1" w:styleId="ListBulletBox">
    <w:name w:val="List Bullet Box"/>
    <w:basedOn w:val="Normal"/>
    <w:rsid w:val="00BC4FD1"/>
    <w:pPr>
      <w:numPr>
        <w:numId w:val="7"/>
      </w:numPr>
      <w:spacing w:after="120"/>
      <w:jc w:val="both"/>
    </w:pPr>
    <w:rPr>
      <w:rFonts w:cs="Arial"/>
      <w:sz w:val="20"/>
      <w:szCs w:val="20"/>
      <w:lang w:val="en-US"/>
    </w:rPr>
  </w:style>
  <w:style w:type="paragraph" w:customStyle="1" w:styleId="ListBulletBox2">
    <w:name w:val="List Bullet Box 2"/>
    <w:basedOn w:val="Normal"/>
    <w:rsid w:val="00BC4FD1"/>
    <w:pPr>
      <w:numPr>
        <w:numId w:val="8"/>
      </w:numPr>
      <w:tabs>
        <w:tab w:val="clear" w:pos="1191"/>
      </w:tabs>
      <w:spacing w:after="120"/>
      <w:ind w:left="1020"/>
      <w:jc w:val="both"/>
    </w:pPr>
    <w:rPr>
      <w:rFonts w:cs="Arial"/>
      <w:sz w:val="20"/>
      <w:szCs w:val="20"/>
      <w:lang w:val="en-US"/>
    </w:rPr>
  </w:style>
  <w:style w:type="paragraph" w:customStyle="1" w:styleId="ListBulletBox3">
    <w:name w:val="List Bullet Box 3"/>
    <w:basedOn w:val="Normal"/>
    <w:rsid w:val="00BC4FD1"/>
    <w:pPr>
      <w:numPr>
        <w:numId w:val="9"/>
      </w:numPr>
      <w:tabs>
        <w:tab w:val="clear" w:pos="1474"/>
      </w:tabs>
      <w:spacing w:after="120"/>
      <w:ind w:left="1361"/>
      <w:jc w:val="both"/>
    </w:pPr>
    <w:rPr>
      <w:rFonts w:cs="Arial"/>
      <w:sz w:val="20"/>
      <w:szCs w:val="20"/>
      <w:lang w:val="en-US"/>
    </w:rPr>
  </w:style>
  <w:style w:type="paragraph" w:customStyle="1" w:styleId="ListNumberBox">
    <w:name w:val="List Number Box"/>
    <w:basedOn w:val="Normal"/>
    <w:rsid w:val="00BC4FD1"/>
    <w:pPr>
      <w:numPr>
        <w:numId w:val="10"/>
      </w:numPr>
      <w:tabs>
        <w:tab w:val="clear" w:pos="1950"/>
      </w:tabs>
      <w:spacing w:after="120"/>
      <w:ind w:left="680" w:hanging="340"/>
      <w:jc w:val="both"/>
    </w:pPr>
    <w:rPr>
      <w:rFonts w:cs="Arial"/>
      <w:sz w:val="20"/>
      <w:szCs w:val="20"/>
      <w:lang w:val="en-US"/>
    </w:rPr>
  </w:style>
  <w:style w:type="paragraph" w:customStyle="1" w:styleId="ListNumberBox2">
    <w:name w:val="List Number Box 2"/>
    <w:basedOn w:val="Normal"/>
    <w:rsid w:val="00BC4FD1"/>
    <w:pPr>
      <w:numPr>
        <w:ilvl w:val="1"/>
        <w:numId w:val="10"/>
      </w:numPr>
      <w:tabs>
        <w:tab w:val="clear" w:pos="2291"/>
      </w:tabs>
      <w:spacing w:after="120"/>
      <w:ind w:left="1020" w:hanging="340"/>
      <w:jc w:val="both"/>
    </w:pPr>
    <w:rPr>
      <w:rFonts w:cs="Arial"/>
      <w:sz w:val="20"/>
      <w:szCs w:val="20"/>
      <w:lang w:val="en-US"/>
    </w:rPr>
  </w:style>
  <w:style w:type="paragraph" w:customStyle="1" w:styleId="ListNumberBox3">
    <w:name w:val="List Number Box 3"/>
    <w:basedOn w:val="Normal"/>
    <w:rsid w:val="00BC4FD1"/>
    <w:pPr>
      <w:numPr>
        <w:ilvl w:val="2"/>
        <w:numId w:val="10"/>
      </w:numPr>
      <w:tabs>
        <w:tab w:val="clear" w:pos="2574"/>
      </w:tabs>
      <w:spacing w:after="120"/>
      <w:ind w:left="1361"/>
      <w:jc w:val="both"/>
    </w:pPr>
    <w:rPr>
      <w:rFonts w:cs="Arial"/>
      <w:sz w:val="20"/>
      <w:szCs w:val="20"/>
      <w:lang w:val="en-US"/>
    </w:rPr>
  </w:style>
  <w:style w:type="paragraph" w:customStyle="1" w:styleId="ListContinueBox">
    <w:name w:val="List Continue Box"/>
    <w:basedOn w:val="Normal"/>
    <w:rsid w:val="00BC4FD1"/>
    <w:pPr>
      <w:spacing w:after="120"/>
      <w:ind w:left="340"/>
      <w:jc w:val="both"/>
    </w:pPr>
    <w:rPr>
      <w:rFonts w:cs="Arial"/>
      <w:sz w:val="20"/>
      <w:szCs w:val="20"/>
      <w:lang w:val="en-US"/>
    </w:rPr>
  </w:style>
  <w:style w:type="paragraph" w:customStyle="1" w:styleId="ListContinueBox2">
    <w:name w:val="List Continue Box 2"/>
    <w:basedOn w:val="Normal"/>
    <w:rsid w:val="00BC4FD1"/>
    <w:pPr>
      <w:spacing w:after="120"/>
      <w:ind w:left="680"/>
      <w:jc w:val="both"/>
    </w:pPr>
    <w:rPr>
      <w:rFonts w:cs="Arial"/>
      <w:sz w:val="20"/>
      <w:szCs w:val="20"/>
      <w:lang w:val="en-US"/>
    </w:rPr>
  </w:style>
  <w:style w:type="paragraph" w:customStyle="1" w:styleId="ListContinueBox3">
    <w:name w:val="List Continue Box 3"/>
    <w:basedOn w:val="Normal"/>
    <w:rsid w:val="00BC4FD1"/>
    <w:pPr>
      <w:spacing w:after="120"/>
      <w:ind w:left="1021"/>
      <w:jc w:val="both"/>
    </w:pPr>
    <w:rPr>
      <w:rFonts w:cs="Arial"/>
      <w:sz w:val="20"/>
      <w:szCs w:val="20"/>
      <w:lang w:val="en-US"/>
    </w:rPr>
  </w:style>
  <w:style w:type="paragraph" w:customStyle="1" w:styleId="BoxSource">
    <w:name w:val="Box Source"/>
    <w:basedOn w:val="Normal"/>
    <w:next w:val="Textodecuerpo"/>
    <w:rsid w:val="00152644"/>
    <w:pPr>
      <w:spacing w:after="360"/>
      <w:jc w:val="both"/>
    </w:pPr>
    <w:rPr>
      <w:rFonts w:cs="Arial"/>
      <w:sz w:val="18"/>
      <w:szCs w:val="18"/>
      <w:lang w:val="en-US"/>
    </w:rPr>
  </w:style>
  <w:style w:type="character" w:customStyle="1" w:styleId="Cote">
    <w:name w:val="Cote"/>
    <w:basedOn w:val="Fuentedeprrafopredeter"/>
    <w:rsid w:val="00BC4FD1"/>
    <w:rPr>
      <w:caps/>
      <w:lang w:val="en-US"/>
    </w:rPr>
  </w:style>
  <w:style w:type="paragraph" w:customStyle="1" w:styleId="AcknowledgementHeading">
    <w:name w:val="Acknowledgement Heading"/>
    <w:basedOn w:val="Normal"/>
    <w:next w:val="Textodecuerpo"/>
    <w:rsid w:val="00BC4FD1"/>
    <w:pPr>
      <w:keepNext/>
      <w:spacing w:before="1200" w:after="720"/>
      <w:jc w:val="center"/>
    </w:pPr>
    <w:rPr>
      <w:b/>
      <w:caps/>
      <w:lang w:val="en-US"/>
    </w:rPr>
  </w:style>
  <w:style w:type="paragraph" w:styleId="Encabezado">
    <w:name w:val="header"/>
    <w:basedOn w:val="Normal"/>
    <w:link w:val="EncabezadoCar"/>
    <w:rsid w:val="00BC4FD1"/>
    <w:pPr>
      <w:tabs>
        <w:tab w:val="center" w:pos="4321"/>
        <w:tab w:val="right" w:pos="8641"/>
      </w:tabs>
    </w:pPr>
    <w:rPr>
      <w:caps/>
      <w:sz w:val="14"/>
      <w:szCs w:val="14"/>
    </w:rPr>
  </w:style>
  <w:style w:type="paragraph" w:styleId="Piedepgina">
    <w:name w:val="footer"/>
    <w:basedOn w:val="Normal"/>
    <w:link w:val="PiedepginaCar"/>
    <w:rsid w:val="00BC4FD1"/>
    <w:pPr>
      <w:tabs>
        <w:tab w:val="center" w:pos="4321"/>
        <w:tab w:val="right" w:pos="8641"/>
      </w:tabs>
    </w:pPr>
    <w:rPr>
      <w:caps/>
      <w:sz w:val="12"/>
      <w:szCs w:val="12"/>
    </w:rPr>
  </w:style>
  <w:style w:type="paragraph" w:styleId="Sangradetdecuerpo">
    <w:name w:val="Body Text Indent"/>
    <w:basedOn w:val="Textodecuerpo"/>
    <w:link w:val="SangradetdecuerpoCar"/>
    <w:autoRedefine/>
    <w:rsid w:val="00BC4FD1"/>
    <w:pPr>
      <w:ind w:left="1021" w:firstLine="0"/>
    </w:pPr>
  </w:style>
  <w:style w:type="paragraph" w:customStyle="1" w:styleId="BoxBodyText">
    <w:name w:val="Box Body Text"/>
    <w:basedOn w:val="Normal"/>
    <w:link w:val="BoxBodyTextChar"/>
    <w:autoRedefine/>
    <w:rsid w:val="003C68EE"/>
    <w:pPr>
      <w:framePr w:hSpace="180" w:wrap="around" w:vAnchor="text" w:hAnchor="margin" w:xAlign="center" w:y="230"/>
      <w:spacing w:after="120"/>
      <w:ind w:firstLine="340"/>
      <w:jc w:val="both"/>
    </w:pPr>
    <w:rPr>
      <w:rFonts w:cs="Arial"/>
      <w:sz w:val="20"/>
      <w:szCs w:val="20"/>
      <w:lang w:val="en-US"/>
    </w:rPr>
  </w:style>
  <w:style w:type="paragraph" w:customStyle="1" w:styleId="BoxBodyTextIndent">
    <w:name w:val="Box Body Text Indent"/>
    <w:basedOn w:val="Normal"/>
    <w:autoRedefine/>
    <w:rsid w:val="004A6007"/>
    <w:pPr>
      <w:spacing w:after="120"/>
      <w:ind w:left="340"/>
      <w:jc w:val="both"/>
    </w:pPr>
    <w:rPr>
      <w:rFonts w:cs="Arial"/>
      <w:sz w:val="20"/>
      <w:szCs w:val="20"/>
      <w:lang w:val="en-US"/>
    </w:rPr>
  </w:style>
  <w:style w:type="character" w:styleId="Nmerodepgina">
    <w:name w:val="page number"/>
    <w:basedOn w:val="Fuentedeprrafopredeter"/>
    <w:uiPriority w:val="99"/>
    <w:rsid w:val="00BC4FD1"/>
  </w:style>
  <w:style w:type="character" w:customStyle="1" w:styleId="TextodecuerpoCar">
    <w:name w:val="Texto de cuerpo Car"/>
    <w:basedOn w:val="Fuentedeprrafopredeter"/>
    <w:link w:val="Textodecuerpo"/>
    <w:rsid w:val="00BC4FD1"/>
    <w:rPr>
      <w:sz w:val="22"/>
      <w:szCs w:val="22"/>
      <w:lang w:val="en-US" w:eastAsia="en-US" w:bidi="ar-SA"/>
    </w:rPr>
  </w:style>
  <w:style w:type="character" w:customStyle="1" w:styleId="AuthorChar">
    <w:name w:val="Author Char"/>
    <w:basedOn w:val="TextodecuerpoCar"/>
    <w:link w:val="Author"/>
    <w:rsid w:val="00BC4FD1"/>
    <w:rPr>
      <w:sz w:val="24"/>
      <w:szCs w:val="24"/>
      <w:lang w:val="en-US" w:eastAsia="en-US" w:bidi="ar-SA"/>
    </w:rPr>
  </w:style>
  <w:style w:type="character" w:customStyle="1" w:styleId="Continuarlista2Car">
    <w:name w:val="Continuar lista 2 Car"/>
    <w:basedOn w:val="Fuentedeprrafopredeter"/>
    <w:link w:val="Continuarlista2"/>
    <w:rsid w:val="00BC4FD1"/>
    <w:rPr>
      <w:sz w:val="22"/>
      <w:szCs w:val="22"/>
      <w:lang w:val="en-GB" w:eastAsia="en-US" w:bidi="ar-SA"/>
    </w:rPr>
  </w:style>
  <w:style w:type="character" w:customStyle="1" w:styleId="ForewordHeadingChar">
    <w:name w:val="Foreword Heading Char"/>
    <w:basedOn w:val="Fuentedeprrafopredeter"/>
    <w:link w:val="ForewordHeading"/>
    <w:rsid w:val="00BC4FD1"/>
    <w:rPr>
      <w:bCs/>
      <w:i/>
      <w:sz w:val="32"/>
      <w:szCs w:val="32"/>
      <w:lang w:val="en-GB" w:eastAsia="en-US" w:bidi="ar-SA"/>
    </w:rPr>
  </w:style>
  <w:style w:type="paragraph" w:customStyle="1" w:styleId="ExecSumheading2">
    <w:name w:val="Exec Sum heading 2"/>
    <w:basedOn w:val="Textodecuerpo"/>
    <w:rsid w:val="00BC4FD1"/>
    <w:pPr>
      <w:pBdr>
        <w:top w:val="single" w:sz="4" w:space="3" w:color="auto"/>
        <w:bottom w:val="single" w:sz="4" w:space="5" w:color="auto"/>
      </w:pBdr>
      <w:spacing w:before="240" w:line="240" w:lineRule="exact"/>
      <w:ind w:left="0" w:right="5387" w:firstLine="0"/>
      <w:jc w:val="left"/>
    </w:pPr>
    <w:rPr>
      <w:i/>
      <w:sz w:val="21"/>
      <w:szCs w:val="21"/>
    </w:rPr>
  </w:style>
  <w:style w:type="character" w:customStyle="1" w:styleId="Ttulo6Car">
    <w:name w:val="Título 6 Car"/>
    <w:basedOn w:val="Fuentedeprrafopredeter"/>
    <w:link w:val="Ttulo6"/>
    <w:rsid w:val="00473421"/>
    <w:rPr>
      <w:b/>
      <w:bCs/>
      <w:sz w:val="22"/>
      <w:szCs w:val="22"/>
      <w:lang w:val="en-GB" w:eastAsia="zh-CN"/>
    </w:rPr>
  </w:style>
  <w:style w:type="character" w:customStyle="1" w:styleId="Ttulo7Car">
    <w:name w:val="Título 7 Car"/>
    <w:basedOn w:val="Fuentedeprrafopredeter"/>
    <w:link w:val="Ttulo7"/>
    <w:rsid w:val="00473421"/>
    <w:rPr>
      <w:sz w:val="24"/>
      <w:szCs w:val="24"/>
      <w:lang w:val="en-GB" w:eastAsia="zh-CN"/>
    </w:rPr>
  </w:style>
  <w:style w:type="character" w:customStyle="1" w:styleId="Ttulo8Car">
    <w:name w:val="Título 8 Car"/>
    <w:basedOn w:val="Fuentedeprrafopredeter"/>
    <w:link w:val="Ttulo8"/>
    <w:rsid w:val="00473421"/>
    <w:rPr>
      <w:i/>
      <w:iCs/>
      <w:sz w:val="24"/>
      <w:szCs w:val="24"/>
      <w:lang w:val="en-GB" w:eastAsia="zh-CN"/>
    </w:rPr>
  </w:style>
  <w:style w:type="character" w:customStyle="1" w:styleId="Ttulo9Car">
    <w:name w:val="Título 9 Car"/>
    <w:basedOn w:val="Fuentedeprrafopredeter"/>
    <w:link w:val="Ttulo9"/>
    <w:rsid w:val="00473421"/>
    <w:rPr>
      <w:rFonts w:ascii="Arial" w:hAnsi="Arial" w:cs="Arial"/>
      <w:sz w:val="22"/>
      <w:szCs w:val="22"/>
      <w:lang w:val="en-GB" w:eastAsia="zh-CN"/>
    </w:rPr>
  </w:style>
  <w:style w:type="paragraph" w:customStyle="1" w:styleId="DefinitionList">
    <w:name w:val="Definition List"/>
    <w:basedOn w:val="Textodecuerpo"/>
    <w:rsid w:val="00473421"/>
    <w:pPr>
      <w:tabs>
        <w:tab w:val="clear" w:pos="1361"/>
        <w:tab w:val="clear" w:pos="1701"/>
        <w:tab w:val="clear" w:pos="2041"/>
      </w:tabs>
      <w:spacing w:after="240"/>
      <w:ind w:left="1984" w:right="0" w:hanging="1984"/>
      <w:jc w:val="center"/>
    </w:pPr>
    <w:rPr>
      <w:lang w:val="en-GB" w:eastAsia="zh-CN"/>
    </w:rPr>
  </w:style>
  <w:style w:type="character" w:styleId="Refdenotaalpie">
    <w:name w:val="footnote reference"/>
    <w:basedOn w:val="Fuentedeprrafopredeter"/>
    <w:uiPriority w:val="99"/>
    <w:rsid w:val="00473421"/>
    <w:rPr>
      <w:vertAlign w:val="superscript"/>
    </w:rPr>
  </w:style>
  <w:style w:type="paragraph" w:styleId="Textonotapie">
    <w:name w:val="footnote text"/>
    <w:basedOn w:val="Normal"/>
    <w:link w:val="TextonotapieCar"/>
    <w:uiPriority w:val="99"/>
    <w:rsid w:val="00473421"/>
    <w:pPr>
      <w:tabs>
        <w:tab w:val="left" w:pos="850"/>
        <w:tab w:val="left" w:pos="1191"/>
        <w:tab w:val="left" w:pos="1531"/>
      </w:tabs>
      <w:spacing w:after="120"/>
      <w:ind w:left="850" w:hanging="850"/>
      <w:jc w:val="both"/>
    </w:pPr>
    <w:rPr>
      <w:sz w:val="20"/>
      <w:szCs w:val="20"/>
      <w:lang w:eastAsia="zh-CN"/>
    </w:rPr>
  </w:style>
  <w:style w:type="character" w:customStyle="1" w:styleId="TextonotapieCar">
    <w:name w:val="Texto nota pie Car"/>
    <w:basedOn w:val="Fuentedeprrafopredeter"/>
    <w:link w:val="Textonotapie"/>
    <w:uiPriority w:val="99"/>
    <w:rsid w:val="00473421"/>
    <w:rPr>
      <w:lang w:val="en-GB" w:eastAsia="zh-CN"/>
    </w:rPr>
  </w:style>
  <w:style w:type="paragraph" w:customStyle="1" w:styleId="HighlightHeading">
    <w:name w:val="Highlight Heading"/>
    <w:basedOn w:val="Normal"/>
    <w:next w:val="Textodecuerpo"/>
    <w:rsid w:val="00473421"/>
    <w:pPr>
      <w:keepNext/>
      <w:tabs>
        <w:tab w:val="left" w:pos="850"/>
        <w:tab w:val="left" w:pos="1191"/>
        <w:tab w:val="left" w:pos="1531"/>
      </w:tabs>
      <w:spacing w:before="1200" w:after="720"/>
      <w:jc w:val="center"/>
    </w:pPr>
    <w:rPr>
      <w:b/>
      <w:bCs/>
      <w:caps/>
      <w:lang w:eastAsia="zh-CN"/>
    </w:rPr>
  </w:style>
  <w:style w:type="paragraph" w:customStyle="1" w:styleId="SubHeading">
    <w:name w:val="SubHeading"/>
    <w:basedOn w:val="Textodecuerpo"/>
    <w:rsid w:val="00473421"/>
    <w:pPr>
      <w:tabs>
        <w:tab w:val="clear" w:pos="1361"/>
        <w:tab w:val="clear" w:pos="1701"/>
        <w:tab w:val="clear" w:pos="2041"/>
        <w:tab w:val="left" w:pos="850"/>
        <w:tab w:val="left" w:pos="1191"/>
        <w:tab w:val="left" w:pos="1531"/>
      </w:tabs>
      <w:spacing w:after="240"/>
      <w:ind w:left="442" w:right="0" w:firstLine="0"/>
    </w:pPr>
    <w:rPr>
      <w:i/>
      <w:iCs/>
      <w:lang w:val="en-GB" w:eastAsia="zh-CN"/>
    </w:rPr>
  </w:style>
  <w:style w:type="paragraph" w:customStyle="1" w:styleId="TextBox">
    <w:name w:val="Text Box"/>
    <w:basedOn w:val="Textodecuerpo"/>
    <w:rsid w:val="00473421"/>
    <w:pPr>
      <w:pBdr>
        <w:top w:val="single" w:sz="6" w:space="1" w:color="auto"/>
        <w:left w:val="single" w:sz="6" w:space="1" w:color="auto"/>
        <w:bottom w:val="single" w:sz="6" w:space="1" w:color="auto"/>
        <w:right w:val="single" w:sz="6" w:space="1" w:color="auto"/>
      </w:pBdr>
      <w:tabs>
        <w:tab w:val="clear" w:pos="1361"/>
        <w:tab w:val="clear" w:pos="1701"/>
        <w:tab w:val="clear" w:pos="2041"/>
        <w:tab w:val="left" w:pos="850"/>
        <w:tab w:val="left" w:pos="1191"/>
        <w:tab w:val="left" w:pos="1531"/>
      </w:tabs>
      <w:spacing w:after="240"/>
      <w:ind w:left="0" w:right="0" w:firstLine="0"/>
    </w:pPr>
    <w:rPr>
      <w:rFonts w:ascii="Arial" w:hAnsi="Arial" w:cs="Arial"/>
      <w:sz w:val="18"/>
      <w:lang w:val="en-GB" w:eastAsia="zh-CN"/>
    </w:rPr>
  </w:style>
  <w:style w:type="paragraph" w:customStyle="1" w:styleId="TextBoxHeading">
    <w:name w:val="Text Box Heading"/>
    <w:basedOn w:val="TextBox"/>
    <w:next w:val="TextBox"/>
    <w:rsid w:val="00473421"/>
    <w:pPr>
      <w:jc w:val="center"/>
    </w:pPr>
    <w:rPr>
      <w:b/>
      <w:bCs/>
    </w:rPr>
  </w:style>
  <w:style w:type="paragraph" w:customStyle="1" w:styleId="IndexHeading1">
    <w:name w:val="Index Heading1"/>
    <w:basedOn w:val="Normal"/>
    <w:next w:val="Textodecuerpo"/>
    <w:rsid w:val="00473421"/>
    <w:pPr>
      <w:keepNext/>
      <w:tabs>
        <w:tab w:val="left" w:pos="850"/>
        <w:tab w:val="left" w:pos="1191"/>
        <w:tab w:val="left" w:pos="1531"/>
      </w:tabs>
      <w:spacing w:before="1200" w:after="720"/>
      <w:jc w:val="center"/>
    </w:pPr>
    <w:rPr>
      <w:b/>
      <w:caps/>
      <w:lang w:val="en-US" w:eastAsia="zh-CN"/>
    </w:rPr>
  </w:style>
  <w:style w:type="paragraph" w:styleId="Textodebloque">
    <w:name w:val="Block Text"/>
    <w:basedOn w:val="Normal"/>
    <w:rsid w:val="00473421"/>
    <w:pPr>
      <w:tabs>
        <w:tab w:val="left" w:pos="850"/>
        <w:tab w:val="left" w:pos="1191"/>
        <w:tab w:val="left" w:pos="1531"/>
      </w:tabs>
      <w:spacing w:after="120"/>
      <w:ind w:left="1440" w:right="1440"/>
      <w:jc w:val="both"/>
    </w:pPr>
    <w:rPr>
      <w:lang w:eastAsia="zh-CN"/>
    </w:rPr>
  </w:style>
  <w:style w:type="paragraph" w:styleId="TDC9">
    <w:name w:val="toc 9"/>
    <w:basedOn w:val="Normal"/>
    <w:next w:val="Normal"/>
    <w:qFormat/>
    <w:rsid w:val="00473421"/>
    <w:pPr>
      <w:ind w:left="1760"/>
      <w:jc w:val="both"/>
    </w:pPr>
    <w:rPr>
      <w:lang w:eastAsia="zh-CN"/>
    </w:rPr>
  </w:style>
  <w:style w:type="numbering" w:customStyle="1" w:styleId="NumberedNote">
    <w:name w:val="Numbered Note"/>
    <w:basedOn w:val="Sinlista"/>
    <w:rsid w:val="00473421"/>
    <w:pPr>
      <w:numPr>
        <w:numId w:val="11"/>
      </w:numPr>
    </w:pPr>
  </w:style>
  <w:style w:type="numbering" w:customStyle="1" w:styleId="BulletedNote">
    <w:name w:val="Bulleted Note"/>
    <w:basedOn w:val="Sinlista"/>
    <w:rsid w:val="00473421"/>
    <w:pPr>
      <w:numPr>
        <w:numId w:val="12"/>
      </w:numPr>
    </w:pPr>
  </w:style>
  <w:style w:type="numbering" w:customStyle="1" w:styleId="NumericNote">
    <w:name w:val="Numeric Note"/>
    <w:basedOn w:val="Sinlista"/>
    <w:rsid w:val="00473421"/>
    <w:pPr>
      <w:numPr>
        <w:numId w:val="13"/>
      </w:numPr>
    </w:pPr>
  </w:style>
  <w:style w:type="numbering" w:customStyle="1" w:styleId="AlphaNote">
    <w:name w:val="Alpha Note"/>
    <w:basedOn w:val="Sinlista"/>
    <w:rsid w:val="00473421"/>
    <w:pPr>
      <w:numPr>
        <w:numId w:val="14"/>
      </w:numPr>
    </w:pPr>
  </w:style>
  <w:style w:type="paragraph" w:styleId="Direccindesobre">
    <w:name w:val="envelope address"/>
    <w:basedOn w:val="Normal"/>
    <w:rsid w:val="00473421"/>
    <w:pPr>
      <w:framePr w:w="7938" w:h="1985" w:hRule="exact" w:hSpace="141" w:wrap="auto" w:hAnchor="page" w:xAlign="center" w:yAlign="bottom"/>
      <w:tabs>
        <w:tab w:val="left" w:pos="850"/>
        <w:tab w:val="left" w:pos="1191"/>
        <w:tab w:val="left" w:pos="1531"/>
      </w:tabs>
      <w:ind w:left="2835"/>
      <w:jc w:val="both"/>
    </w:pPr>
    <w:rPr>
      <w:rFonts w:ascii="Arial" w:hAnsi="Arial" w:cs="Arial"/>
      <w:sz w:val="24"/>
      <w:szCs w:val="24"/>
      <w:lang w:eastAsia="zh-CN"/>
    </w:rPr>
  </w:style>
  <w:style w:type="paragraph" w:styleId="Remitedesobre">
    <w:name w:val="envelope return"/>
    <w:basedOn w:val="Normal"/>
    <w:rsid w:val="00473421"/>
    <w:pPr>
      <w:tabs>
        <w:tab w:val="left" w:pos="850"/>
        <w:tab w:val="left" w:pos="1191"/>
        <w:tab w:val="left" w:pos="1531"/>
      </w:tabs>
      <w:jc w:val="both"/>
    </w:pPr>
    <w:rPr>
      <w:rFonts w:ascii="Arial" w:hAnsi="Arial" w:cs="Arial"/>
      <w:sz w:val="20"/>
      <w:szCs w:val="20"/>
      <w:lang w:eastAsia="zh-CN"/>
    </w:rPr>
  </w:style>
  <w:style w:type="paragraph" w:styleId="DireccinHTML">
    <w:name w:val="HTML Address"/>
    <w:basedOn w:val="Normal"/>
    <w:link w:val="DireccinHTMLCar"/>
    <w:rsid w:val="00473421"/>
    <w:pPr>
      <w:tabs>
        <w:tab w:val="left" w:pos="850"/>
        <w:tab w:val="left" w:pos="1191"/>
        <w:tab w:val="left" w:pos="1531"/>
      </w:tabs>
      <w:jc w:val="both"/>
    </w:pPr>
    <w:rPr>
      <w:i/>
      <w:iCs/>
      <w:lang w:eastAsia="zh-CN"/>
    </w:rPr>
  </w:style>
  <w:style w:type="character" w:customStyle="1" w:styleId="DireccinHTMLCar">
    <w:name w:val="Dirección HTML Car"/>
    <w:basedOn w:val="Fuentedeprrafopredeter"/>
    <w:link w:val="DireccinHTML"/>
    <w:rsid w:val="00473421"/>
    <w:rPr>
      <w:i/>
      <w:iCs/>
      <w:sz w:val="22"/>
      <w:szCs w:val="22"/>
      <w:lang w:val="en-GB" w:eastAsia="zh-CN"/>
    </w:rPr>
  </w:style>
  <w:style w:type="paragraph" w:styleId="Textocomentario">
    <w:name w:val="annotation text"/>
    <w:basedOn w:val="Normal"/>
    <w:link w:val="TextocomentarioCar"/>
    <w:uiPriority w:val="99"/>
    <w:rsid w:val="00473421"/>
    <w:pPr>
      <w:tabs>
        <w:tab w:val="left" w:pos="850"/>
        <w:tab w:val="left" w:pos="1191"/>
        <w:tab w:val="left" w:pos="1531"/>
      </w:tabs>
      <w:jc w:val="both"/>
    </w:pPr>
    <w:rPr>
      <w:sz w:val="20"/>
      <w:szCs w:val="20"/>
      <w:lang w:eastAsia="zh-CN"/>
    </w:rPr>
  </w:style>
  <w:style w:type="character" w:customStyle="1" w:styleId="TextocomentarioCar">
    <w:name w:val="Texto comentario Car"/>
    <w:basedOn w:val="Fuentedeprrafopredeter"/>
    <w:link w:val="Textocomentario"/>
    <w:uiPriority w:val="99"/>
    <w:rsid w:val="00473421"/>
    <w:rPr>
      <w:lang w:val="en-GB" w:eastAsia="zh-CN"/>
    </w:rPr>
  </w:style>
  <w:style w:type="paragraph" w:styleId="Textodecuerpo2">
    <w:name w:val="Body Text 2"/>
    <w:basedOn w:val="Normal"/>
    <w:link w:val="Textodecuerpo2Car"/>
    <w:rsid w:val="00473421"/>
    <w:pPr>
      <w:tabs>
        <w:tab w:val="left" w:pos="850"/>
        <w:tab w:val="left" w:pos="1191"/>
        <w:tab w:val="left" w:pos="1531"/>
      </w:tabs>
      <w:spacing w:after="120" w:line="480" w:lineRule="auto"/>
      <w:jc w:val="both"/>
    </w:pPr>
    <w:rPr>
      <w:lang w:eastAsia="zh-CN"/>
    </w:rPr>
  </w:style>
  <w:style w:type="character" w:customStyle="1" w:styleId="Textodecuerpo2Car">
    <w:name w:val="Texto de cuerpo 2 Car"/>
    <w:basedOn w:val="Fuentedeprrafopredeter"/>
    <w:link w:val="Textodecuerpo2"/>
    <w:rsid w:val="00473421"/>
    <w:rPr>
      <w:sz w:val="22"/>
      <w:szCs w:val="22"/>
      <w:lang w:val="en-GB" w:eastAsia="zh-CN"/>
    </w:rPr>
  </w:style>
  <w:style w:type="paragraph" w:styleId="Textodecuerpo3">
    <w:name w:val="Body Text 3"/>
    <w:basedOn w:val="Normal"/>
    <w:link w:val="Textodecuerpo3Car"/>
    <w:rsid w:val="00473421"/>
    <w:pPr>
      <w:tabs>
        <w:tab w:val="left" w:pos="850"/>
        <w:tab w:val="left" w:pos="1191"/>
        <w:tab w:val="left" w:pos="1531"/>
      </w:tabs>
      <w:spacing w:after="120"/>
      <w:jc w:val="both"/>
    </w:pPr>
    <w:rPr>
      <w:sz w:val="16"/>
      <w:szCs w:val="16"/>
      <w:lang w:eastAsia="zh-CN"/>
    </w:rPr>
  </w:style>
  <w:style w:type="character" w:customStyle="1" w:styleId="Textodecuerpo3Car">
    <w:name w:val="Texto de cuerpo 3 Car"/>
    <w:basedOn w:val="Fuentedeprrafopredeter"/>
    <w:link w:val="Textodecuerpo3"/>
    <w:rsid w:val="00473421"/>
    <w:rPr>
      <w:sz w:val="16"/>
      <w:szCs w:val="16"/>
      <w:lang w:val="en-GB" w:eastAsia="zh-CN"/>
    </w:rPr>
  </w:style>
  <w:style w:type="paragraph" w:styleId="Fecha">
    <w:name w:val="Date"/>
    <w:basedOn w:val="Normal"/>
    <w:next w:val="Normal"/>
    <w:link w:val="FechaCar"/>
    <w:rsid w:val="00473421"/>
    <w:pPr>
      <w:tabs>
        <w:tab w:val="left" w:pos="850"/>
        <w:tab w:val="left" w:pos="1191"/>
        <w:tab w:val="left" w:pos="1531"/>
      </w:tabs>
      <w:jc w:val="both"/>
    </w:pPr>
    <w:rPr>
      <w:lang w:eastAsia="zh-CN"/>
    </w:rPr>
  </w:style>
  <w:style w:type="character" w:customStyle="1" w:styleId="FechaCar">
    <w:name w:val="Fecha Car"/>
    <w:basedOn w:val="Fuentedeprrafopredeter"/>
    <w:link w:val="Fecha"/>
    <w:rsid w:val="00473421"/>
    <w:rPr>
      <w:sz w:val="22"/>
      <w:szCs w:val="22"/>
      <w:lang w:val="en-GB" w:eastAsia="zh-CN"/>
    </w:rPr>
  </w:style>
  <w:style w:type="paragraph" w:styleId="Encabezadodemensaje">
    <w:name w:val="Message Header"/>
    <w:basedOn w:val="Normal"/>
    <w:link w:val="EncabezadodemensajeCar"/>
    <w:rsid w:val="00473421"/>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cs="Arial"/>
      <w:sz w:val="24"/>
      <w:szCs w:val="24"/>
      <w:lang w:eastAsia="zh-CN"/>
    </w:rPr>
  </w:style>
  <w:style w:type="character" w:customStyle="1" w:styleId="EncabezadodemensajeCar">
    <w:name w:val="Encabezado de mensaje Car"/>
    <w:basedOn w:val="Fuentedeprrafopredeter"/>
    <w:link w:val="Encabezadodemensaje"/>
    <w:rsid w:val="00473421"/>
    <w:rPr>
      <w:rFonts w:ascii="Arial" w:hAnsi="Arial" w:cs="Arial"/>
      <w:sz w:val="24"/>
      <w:szCs w:val="24"/>
      <w:shd w:val="pct20" w:color="auto" w:fill="auto"/>
      <w:lang w:val="en-GB" w:eastAsia="zh-CN"/>
    </w:rPr>
  </w:style>
  <w:style w:type="paragraph" w:styleId="Mapadeldocumento">
    <w:name w:val="Document Map"/>
    <w:basedOn w:val="Normal"/>
    <w:link w:val="MapadeldocumentoCar"/>
    <w:semiHidden/>
    <w:rsid w:val="00473421"/>
    <w:pPr>
      <w:shd w:val="clear" w:color="auto" w:fill="000080"/>
      <w:tabs>
        <w:tab w:val="left" w:pos="850"/>
        <w:tab w:val="left" w:pos="1191"/>
        <w:tab w:val="left" w:pos="1531"/>
      </w:tabs>
      <w:jc w:val="both"/>
    </w:pPr>
    <w:rPr>
      <w:rFonts w:ascii="Tahoma" w:hAnsi="Tahoma" w:cs="Tahoma"/>
      <w:lang w:eastAsia="zh-CN"/>
    </w:rPr>
  </w:style>
  <w:style w:type="character" w:customStyle="1" w:styleId="MapadeldocumentoCar">
    <w:name w:val="Mapa del documento Car"/>
    <w:basedOn w:val="Fuentedeprrafopredeter"/>
    <w:link w:val="Mapadeldocumento"/>
    <w:semiHidden/>
    <w:rsid w:val="00473421"/>
    <w:rPr>
      <w:rFonts w:ascii="Tahoma" w:hAnsi="Tahoma" w:cs="Tahoma"/>
      <w:sz w:val="22"/>
      <w:szCs w:val="22"/>
      <w:shd w:val="clear" w:color="auto" w:fill="000080"/>
      <w:lang w:val="en-GB" w:eastAsia="zh-CN"/>
    </w:rPr>
  </w:style>
  <w:style w:type="paragraph" w:styleId="Cierre">
    <w:name w:val="Closing"/>
    <w:basedOn w:val="Normal"/>
    <w:link w:val="CierreCar"/>
    <w:rsid w:val="00473421"/>
    <w:pPr>
      <w:tabs>
        <w:tab w:val="left" w:pos="850"/>
        <w:tab w:val="left" w:pos="1191"/>
        <w:tab w:val="left" w:pos="1531"/>
      </w:tabs>
      <w:ind w:left="4252"/>
      <w:jc w:val="both"/>
    </w:pPr>
    <w:rPr>
      <w:lang w:eastAsia="zh-CN"/>
    </w:rPr>
  </w:style>
  <w:style w:type="character" w:customStyle="1" w:styleId="CierreCar">
    <w:name w:val="Cierre Car"/>
    <w:basedOn w:val="Fuentedeprrafopredeter"/>
    <w:link w:val="Cierre"/>
    <w:rsid w:val="00473421"/>
    <w:rPr>
      <w:sz w:val="22"/>
      <w:szCs w:val="22"/>
      <w:lang w:val="en-GB" w:eastAsia="zh-CN"/>
    </w:rPr>
  </w:style>
  <w:style w:type="paragraph" w:styleId="ndice2">
    <w:name w:val="index 2"/>
    <w:basedOn w:val="Normal"/>
    <w:next w:val="Normal"/>
    <w:semiHidden/>
    <w:rsid w:val="00473421"/>
    <w:pPr>
      <w:ind w:left="440" w:hanging="220"/>
      <w:jc w:val="both"/>
    </w:pPr>
    <w:rPr>
      <w:lang w:eastAsia="zh-CN"/>
    </w:rPr>
  </w:style>
  <w:style w:type="paragraph" w:styleId="ndice3">
    <w:name w:val="index 3"/>
    <w:basedOn w:val="Normal"/>
    <w:next w:val="Normal"/>
    <w:semiHidden/>
    <w:rsid w:val="00473421"/>
    <w:pPr>
      <w:ind w:left="660" w:hanging="220"/>
      <w:jc w:val="both"/>
    </w:pPr>
    <w:rPr>
      <w:lang w:eastAsia="zh-CN"/>
    </w:rPr>
  </w:style>
  <w:style w:type="paragraph" w:styleId="ndice4">
    <w:name w:val="index 4"/>
    <w:basedOn w:val="Normal"/>
    <w:next w:val="Normal"/>
    <w:semiHidden/>
    <w:rsid w:val="00473421"/>
    <w:pPr>
      <w:ind w:left="880" w:hanging="220"/>
      <w:jc w:val="both"/>
    </w:pPr>
    <w:rPr>
      <w:lang w:eastAsia="zh-CN"/>
    </w:rPr>
  </w:style>
  <w:style w:type="paragraph" w:styleId="ndice5">
    <w:name w:val="index 5"/>
    <w:basedOn w:val="Normal"/>
    <w:next w:val="Normal"/>
    <w:semiHidden/>
    <w:rsid w:val="00473421"/>
    <w:pPr>
      <w:ind w:left="1100" w:hanging="220"/>
      <w:jc w:val="both"/>
    </w:pPr>
    <w:rPr>
      <w:lang w:eastAsia="zh-CN"/>
    </w:rPr>
  </w:style>
  <w:style w:type="paragraph" w:styleId="ndice6">
    <w:name w:val="index 6"/>
    <w:basedOn w:val="Normal"/>
    <w:next w:val="Normal"/>
    <w:semiHidden/>
    <w:rsid w:val="00473421"/>
    <w:pPr>
      <w:ind w:left="1320" w:hanging="220"/>
      <w:jc w:val="both"/>
    </w:pPr>
    <w:rPr>
      <w:lang w:eastAsia="zh-CN"/>
    </w:rPr>
  </w:style>
  <w:style w:type="paragraph" w:styleId="ndice7">
    <w:name w:val="index 7"/>
    <w:basedOn w:val="Normal"/>
    <w:next w:val="Normal"/>
    <w:semiHidden/>
    <w:rsid w:val="00473421"/>
    <w:pPr>
      <w:ind w:left="1540" w:hanging="220"/>
      <w:jc w:val="both"/>
    </w:pPr>
    <w:rPr>
      <w:lang w:eastAsia="zh-CN"/>
    </w:rPr>
  </w:style>
  <w:style w:type="paragraph" w:styleId="ndice8">
    <w:name w:val="index 8"/>
    <w:basedOn w:val="Normal"/>
    <w:next w:val="Normal"/>
    <w:semiHidden/>
    <w:rsid w:val="00473421"/>
    <w:pPr>
      <w:ind w:left="1760" w:hanging="220"/>
      <w:jc w:val="both"/>
    </w:pPr>
    <w:rPr>
      <w:lang w:eastAsia="zh-CN"/>
    </w:rPr>
  </w:style>
  <w:style w:type="paragraph" w:styleId="ndice9">
    <w:name w:val="index 9"/>
    <w:basedOn w:val="Normal"/>
    <w:next w:val="Normal"/>
    <w:semiHidden/>
    <w:rsid w:val="00473421"/>
    <w:pPr>
      <w:ind w:left="1980" w:hanging="220"/>
      <w:jc w:val="both"/>
    </w:pPr>
    <w:rPr>
      <w:lang w:eastAsia="zh-CN"/>
    </w:rPr>
  </w:style>
  <w:style w:type="paragraph" w:styleId="NormalWeb">
    <w:name w:val="Normal (Web)"/>
    <w:basedOn w:val="Normal"/>
    <w:uiPriority w:val="99"/>
    <w:rsid w:val="00473421"/>
    <w:pPr>
      <w:tabs>
        <w:tab w:val="left" w:pos="850"/>
        <w:tab w:val="left" w:pos="1191"/>
        <w:tab w:val="left" w:pos="1531"/>
      </w:tabs>
      <w:jc w:val="both"/>
    </w:pPr>
    <w:rPr>
      <w:sz w:val="24"/>
      <w:szCs w:val="24"/>
      <w:lang w:eastAsia="zh-CN"/>
    </w:rPr>
  </w:style>
  <w:style w:type="paragraph" w:styleId="Asuntodelcomentario">
    <w:name w:val="annotation subject"/>
    <w:basedOn w:val="Textocomentario"/>
    <w:next w:val="Textocomentario"/>
    <w:link w:val="AsuntodelcomentarioCar"/>
    <w:semiHidden/>
    <w:rsid w:val="00473421"/>
    <w:rPr>
      <w:b/>
      <w:bCs/>
    </w:rPr>
  </w:style>
  <w:style w:type="character" w:customStyle="1" w:styleId="AsuntodelcomentarioCar">
    <w:name w:val="Asunto del comentario Car"/>
    <w:basedOn w:val="TextocomentarioCar"/>
    <w:link w:val="Asuntodelcomentario"/>
    <w:uiPriority w:val="99"/>
    <w:semiHidden/>
    <w:rsid w:val="00473421"/>
    <w:rPr>
      <w:b/>
      <w:bCs/>
      <w:lang w:val="en-GB" w:eastAsia="zh-CN"/>
    </w:rPr>
  </w:style>
  <w:style w:type="paragraph" w:styleId="HTMLconformatoprevio">
    <w:name w:val="HTML Preformatted"/>
    <w:basedOn w:val="Normal"/>
    <w:link w:val="HTMLconformatoprevioCar"/>
    <w:uiPriority w:val="99"/>
    <w:rsid w:val="00473421"/>
    <w:pPr>
      <w:tabs>
        <w:tab w:val="left" w:pos="850"/>
        <w:tab w:val="left" w:pos="1191"/>
        <w:tab w:val="left" w:pos="1531"/>
      </w:tabs>
      <w:jc w:val="both"/>
    </w:pPr>
    <w:rPr>
      <w:rFonts w:ascii="Courier New" w:hAnsi="Courier New" w:cs="Courier New"/>
      <w:sz w:val="20"/>
      <w:szCs w:val="20"/>
      <w:lang w:eastAsia="zh-CN"/>
    </w:rPr>
  </w:style>
  <w:style w:type="character" w:customStyle="1" w:styleId="HTMLconformatoprevioCar">
    <w:name w:val="HTML con formato previo Car"/>
    <w:basedOn w:val="Fuentedeprrafopredeter"/>
    <w:link w:val="HTMLconformatoprevio"/>
    <w:uiPriority w:val="99"/>
    <w:rsid w:val="00473421"/>
    <w:rPr>
      <w:rFonts w:ascii="Courier New" w:hAnsi="Courier New" w:cs="Courier New"/>
      <w:lang w:val="en-GB" w:eastAsia="zh-CN"/>
    </w:rPr>
  </w:style>
  <w:style w:type="paragraph" w:styleId="Textodecuerpo1sangra">
    <w:name w:val="Body Text First Indent"/>
    <w:basedOn w:val="Textodecuerpo"/>
    <w:link w:val="Textodecuerpo1sangraCar"/>
    <w:rsid w:val="00473421"/>
    <w:pPr>
      <w:tabs>
        <w:tab w:val="clear" w:pos="1361"/>
        <w:tab w:val="clear" w:pos="1701"/>
        <w:tab w:val="clear" w:pos="2041"/>
        <w:tab w:val="left" w:pos="850"/>
        <w:tab w:val="left" w:pos="1191"/>
        <w:tab w:val="left" w:pos="1531"/>
      </w:tabs>
      <w:ind w:left="0" w:right="0" w:firstLine="210"/>
    </w:pPr>
    <w:rPr>
      <w:lang w:val="en-GB" w:eastAsia="zh-CN"/>
    </w:rPr>
  </w:style>
  <w:style w:type="character" w:customStyle="1" w:styleId="Textodecuerpo1sangraCar">
    <w:name w:val="Texto de cuerpo 1ª sangría Car"/>
    <w:basedOn w:val="TextodecuerpoCar"/>
    <w:link w:val="Textodecuerpo1sangra"/>
    <w:rsid w:val="00473421"/>
    <w:rPr>
      <w:sz w:val="22"/>
      <w:szCs w:val="22"/>
      <w:lang w:val="en-GB" w:eastAsia="zh-CN" w:bidi="ar-SA"/>
    </w:rPr>
  </w:style>
  <w:style w:type="paragraph" w:styleId="Sangra2detdecuerpo">
    <w:name w:val="Body Text Indent 2"/>
    <w:basedOn w:val="Normal"/>
    <w:link w:val="Sangra2detdecuerpoCar"/>
    <w:rsid w:val="00473421"/>
    <w:pPr>
      <w:tabs>
        <w:tab w:val="left" w:pos="850"/>
        <w:tab w:val="left" w:pos="1191"/>
        <w:tab w:val="left" w:pos="1531"/>
      </w:tabs>
      <w:spacing w:after="120" w:line="480" w:lineRule="auto"/>
      <w:ind w:left="283"/>
      <w:jc w:val="both"/>
    </w:pPr>
    <w:rPr>
      <w:lang w:eastAsia="zh-CN"/>
    </w:rPr>
  </w:style>
  <w:style w:type="character" w:customStyle="1" w:styleId="Sangra2detdecuerpoCar">
    <w:name w:val="Sangría 2 de t. de cuerpo Car"/>
    <w:basedOn w:val="Fuentedeprrafopredeter"/>
    <w:link w:val="Sangra2detdecuerpo"/>
    <w:rsid w:val="00473421"/>
    <w:rPr>
      <w:sz w:val="22"/>
      <w:szCs w:val="22"/>
      <w:lang w:val="en-GB" w:eastAsia="zh-CN"/>
    </w:rPr>
  </w:style>
  <w:style w:type="paragraph" w:styleId="Sangra3detdecuerpo">
    <w:name w:val="Body Text Indent 3"/>
    <w:basedOn w:val="Normal"/>
    <w:link w:val="Sangra3detdecuerpoCar"/>
    <w:rsid w:val="00473421"/>
    <w:pPr>
      <w:tabs>
        <w:tab w:val="left" w:pos="850"/>
        <w:tab w:val="left" w:pos="1191"/>
        <w:tab w:val="left" w:pos="1531"/>
      </w:tabs>
      <w:spacing w:after="120"/>
      <w:ind w:left="283"/>
      <w:jc w:val="both"/>
    </w:pPr>
    <w:rPr>
      <w:sz w:val="16"/>
      <w:szCs w:val="16"/>
      <w:lang w:eastAsia="zh-CN"/>
    </w:rPr>
  </w:style>
  <w:style w:type="character" w:customStyle="1" w:styleId="Sangra3detdecuerpoCar">
    <w:name w:val="Sangría 3 de t. de cuerpo Car"/>
    <w:basedOn w:val="Fuentedeprrafopredeter"/>
    <w:link w:val="Sangra3detdecuerpo"/>
    <w:rsid w:val="00473421"/>
    <w:rPr>
      <w:sz w:val="16"/>
      <w:szCs w:val="16"/>
      <w:lang w:val="en-GB" w:eastAsia="zh-CN"/>
    </w:rPr>
  </w:style>
  <w:style w:type="paragraph" w:styleId="Textodecuerpo1sangra2">
    <w:name w:val="Body Text First Indent 2"/>
    <w:basedOn w:val="Sangradetdecuerpo"/>
    <w:link w:val="Textodecuerpo1sangra2Car"/>
    <w:rsid w:val="00473421"/>
    <w:pPr>
      <w:tabs>
        <w:tab w:val="clear" w:pos="1361"/>
        <w:tab w:val="clear" w:pos="1701"/>
        <w:tab w:val="clear" w:pos="2041"/>
        <w:tab w:val="left" w:pos="850"/>
        <w:tab w:val="left" w:pos="1191"/>
        <w:tab w:val="left" w:pos="1531"/>
      </w:tabs>
      <w:spacing w:after="240"/>
      <w:ind w:left="442" w:right="0" w:firstLine="210"/>
    </w:pPr>
    <w:rPr>
      <w:lang w:val="en-GB" w:eastAsia="zh-CN"/>
    </w:rPr>
  </w:style>
  <w:style w:type="character" w:customStyle="1" w:styleId="SangradetdecuerpoCar">
    <w:name w:val="Sangría de t. de cuerpo Car"/>
    <w:basedOn w:val="TextodecuerpoCar"/>
    <w:link w:val="Sangradetdecuerpo"/>
    <w:rsid w:val="00473421"/>
    <w:rPr>
      <w:sz w:val="22"/>
      <w:szCs w:val="22"/>
      <w:lang w:val="en-US" w:eastAsia="en-US" w:bidi="ar-SA"/>
    </w:rPr>
  </w:style>
  <w:style w:type="character" w:customStyle="1" w:styleId="Textodecuerpo1sangra2Car">
    <w:name w:val="Texto de cuerpo 1ª sangría 2 Car"/>
    <w:basedOn w:val="SangradetdecuerpoCar"/>
    <w:link w:val="Textodecuerpo1sangra2"/>
    <w:rsid w:val="00473421"/>
    <w:rPr>
      <w:sz w:val="22"/>
      <w:szCs w:val="22"/>
      <w:lang w:val="en-GB" w:eastAsia="zh-CN" w:bidi="ar-SA"/>
    </w:rPr>
  </w:style>
  <w:style w:type="paragraph" w:styleId="Sangranormal">
    <w:name w:val="Normal Indent"/>
    <w:basedOn w:val="Normal"/>
    <w:rsid w:val="00473421"/>
    <w:pPr>
      <w:tabs>
        <w:tab w:val="left" w:pos="850"/>
        <w:tab w:val="left" w:pos="1191"/>
        <w:tab w:val="left" w:pos="1531"/>
      </w:tabs>
      <w:ind w:left="708"/>
      <w:jc w:val="both"/>
    </w:pPr>
    <w:rPr>
      <w:lang w:eastAsia="zh-CN"/>
    </w:rPr>
  </w:style>
  <w:style w:type="paragraph" w:styleId="Saludo">
    <w:name w:val="Salutation"/>
    <w:basedOn w:val="Normal"/>
    <w:next w:val="Normal"/>
    <w:link w:val="SaludoCar"/>
    <w:rsid w:val="00473421"/>
    <w:pPr>
      <w:tabs>
        <w:tab w:val="left" w:pos="850"/>
        <w:tab w:val="left" w:pos="1191"/>
        <w:tab w:val="left" w:pos="1531"/>
      </w:tabs>
      <w:jc w:val="both"/>
    </w:pPr>
    <w:rPr>
      <w:lang w:eastAsia="zh-CN"/>
    </w:rPr>
  </w:style>
  <w:style w:type="character" w:customStyle="1" w:styleId="SaludoCar">
    <w:name w:val="Saludo Car"/>
    <w:basedOn w:val="Fuentedeprrafopredeter"/>
    <w:link w:val="Saludo"/>
    <w:rsid w:val="00473421"/>
    <w:rPr>
      <w:sz w:val="22"/>
      <w:szCs w:val="22"/>
      <w:lang w:val="en-GB" w:eastAsia="zh-CN"/>
    </w:rPr>
  </w:style>
  <w:style w:type="paragraph" w:styleId="Firma">
    <w:name w:val="Signature"/>
    <w:basedOn w:val="Normal"/>
    <w:link w:val="FirmaCar"/>
    <w:rsid w:val="00473421"/>
    <w:pPr>
      <w:tabs>
        <w:tab w:val="left" w:pos="850"/>
        <w:tab w:val="left" w:pos="1191"/>
        <w:tab w:val="left" w:pos="1531"/>
      </w:tabs>
      <w:ind w:left="4252"/>
      <w:jc w:val="both"/>
    </w:pPr>
    <w:rPr>
      <w:lang w:eastAsia="zh-CN"/>
    </w:rPr>
  </w:style>
  <w:style w:type="character" w:customStyle="1" w:styleId="FirmaCar">
    <w:name w:val="Firma Car"/>
    <w:basedOn w:val="Fuentedeprrafopredeter"/>
    <w:link w:val="Firma"/>
    <w:rsid w:val="00473421"/>
    <w:rPr>
      <w:sz w:val="22"/>
      <w:szCs w:val="22"/>
      <w:lang w:val="en-GB" w:eastAsia="zh-CN"/>
    </w:rPr>
  </w:style>
  <w:style w:type="paragraph" w:styleId="Firmadecorreoelectrnico">
    <w:name w:val="E-mail Signature"/>
    <w:basedOn w:val="Normal"/>
    <w:link w:val="FirmadecorreoelectrnicoCar"/>
    <w:rsid w:val="00473421"/>
    <w:pPr>
      <w:tabs>
        <w:tab w:val="left" w:pos="850"/>
        <w:tab w:val="left" w:pos="1191"/>
        <w:tab w:val="left" w:pos="1531"/>
      </w:tabs>
      <w:jc w:val="both"/>
    </w:pPr>
    <w:rPr>
      <w:lang w:eastAsia="zh-CN"/>
    </w:rPr>
  </w:style>
  <w:style w:type="character" w:customStyle="1" w:styleId="FirmadecorreoelectrnicoCar">
    <w:name w:val="Firma de correo electrónico Car"/>
    <w:basedOn w:val="Fuentedeprrafopredeter"/>
    <w:link w:val="Firmadecorreoelectrnico"/>
    <w:rsid w:val="00473421"/>
    <w:rPr>
      <w:sz w:val="22"/>
      <w:szCs w:val="22"/>
      <w:lang w:val="en-GB" w:eastAsia="zh-CN"/>
    </w:rPr>
  </w:style>
  <w:style w:type="paragraph" w:styleId="Subttulo">
    <w:name w:val="Subtitle"/>
    <w:basedOn w:val="Normal"/>
    <w:link w:val="SubttuloCar"/>
    <w:qFormat/>
    <w:rsid w:val="00473421"/>
    <w:pPr>
      <w:tabs>
        <w:tab w:val="left" w:pos="850"/>
        <w:tab w:val="left" w:pos="1191"/>
        <w:tab w:val="left" w:pos="1531"/>
      </w:tabs>
      <w:spacing w:after="60"/>
      <w:jc w:val="center"/>
      <w:outlineLvl w:val="1"/>
    </w:pPr>
    <w:rPr>
      <w:rFonts w:ascii="Arial" w:hAnsi="Arial" w:cs="Arial"/>
      <w:sz w:val="24"/>
      <w:szCs w:val="24"/>
      <w:lang w:eastAsia="zh-CN"/>
    </w:rPr>
  </w:style>
  <w:style w:type="character" w:customStyle="1" w:styleId="SubttuloCar">
    <w:name w:val="Subtítulo Car"/>
    <w:basedOn w:val="Fuentedeprrafopredeter"/>
    <w:link w:val="Subttulo"/>
    <w:uiPriority w:val="11"/>
    <w:rsid w:val="00473421"/>
    <w:rPr>
      <w:rFonts w:ascii="Arial" w:hAnsi="Arial" w:cs="Arial"/>
      <w:sz w:val="24"/>
      <w:szCs w:val="24"/>
      <w:lang w:val="en-GB" w:eastAsia="zh-CN"/>
    </w:rPr>
  </w:style>
  <w:style w:type="paragraph" w:styleId="Tabladeilustraciones">
    <w:name w:val="table of figures"/>
    <w:basedOn w:val="Normal"/>
    <w:next w:val="Normal"/>
    <w:uiPriority w:val="99"/>
    <w:rsid w:val="00473421"/>
    <w:pPr>
      <w:ind w:left="440" w:hanging="440"/>
      <w:jc w:val="both"/>
    </w:pPr>
    <w:rPr>
      <w:lang w:eastAsia="zh-CN"/>
    </w:rPr>
  </w:style>
  <w:style w:type="paragraph" w:styleId="Textoconsangra">
    <w:name w:val="table of authorities"/>
    <w:basedOn w:val="Normal"/>
    <w:next w:val="Normal"/>
    <w:semiHidden/>
    <w:rsid w:val="00473421"/>
    <w:pPr>
      <w:ind w:left="220" w:hanging="220"/>
      <w:jc w:val="both"/>
    </w:pPr>
    <w:rPr>
      <w:lang w:eastAsia="zh-CN"/>
    </w:rPr>
  </w:style>
  <w:style w:type="paragraph" w:styleId="Textosinformato">
    <w:name w:val="Plain Text"/>
    <w:basedOn w:val="Normal"/>
    <w:link w:val="TextosinformatoCar"/>
    <w:rsid w:val="00473421"/>
    <w:pPr>
      <w:tabs>
        <w:tab w:val="left" w:pos="850"/>
        <w:tab w:val="left" w:pos="1191"/>
        <w:tab w:val="left" w:pos="1531"/>
      </w:tabs>
      <w:jc w:val="both"/>
    </w:pPr>
    <w:rPr>
      <w:rFonts w:ascii="Courier New" w:hAnsi="Courier New" w:cs="Courier New"/>
      <w:sz w:val="20"/>
      <w:szCs w:val="20"/>
      <w:lang w:eastAsia="zh-CN"/>
    </w:rPr>
  </w:style>
  <w:style w:type="character" w:customStyle="1" w:styleId="TextosinformatoCar">
    <w:name w:val="Texto sin formato Car"/>
    <w:basedOn w:val="Fuentedeprrafopredeter"/>
    <w:link w:val="Textosinformato"/>
    <w:rsid w:val="00473421"/>
    <w:rPr>
      <w:rFonts w:ascii="Courier New" w:hAnsi="Courier New" w:cs="Courier New"/>
      <w:lang w:val="en-GB" w:eastAsia="zh-CN"/>
    </w:rPr>
  </w:style>
  <w:style w:type="paragraph" w:styleId="Textodeglobo">
    <w:name w:val="Balloon Text"/>
    <w:basedOn w:val="Normal"/>
    <w:link w:val="TextodegloboCar"/>
    <w:semiHidden/>
    <w:rsid w:val="00473421"/>
    <w:pPr>
      <w:tabs>
        <w:tab w:val="left" w:pos="850"/>
        <w:tab w:val="left" w:pos="1191"/>
        <w:tab w:val="left" w:pos="1531"/>
      </w:tabs>
      <w:jc w:val="both"/>
    </w:pPr>
    <w:rPr>
      <w:rFonts w:ascii="Tahoma" w:hAnsi="Tahoma" w:cs="Tahoma"/>
      <w:sz w:val="16"/>
      <w:szCs w:val="16"/>
      <w:lang w:eastAsia="zh-CN"/>
    </w:rPr>
  </w:style>
  <w:style w:type="character" w:customStyle="1" w:styleId="TextodegloboCar">
    <w:name w:val="Texto de globo Car"/>
    <w:basedOn w:val="Fuentedeprrafopredeter"/>
    <w:link w:val="Textodeglobo"/>
    <w:uiPriority w:val="99"/>
    <w:semiHidden/>
    <w:rsid w:val="00473421"/>
    <w:rPr>
      <w:rFonts w:ascii="Tahoma" w:hAnsi="Tahoma" w:cs="Tahoma"/>
      <w:sz w:val="16"/>
      <w:szCs w:val="16"/>
      <w:lang w:val="en-GB" w:eastAsia="zh-CN"/>
    </w:rPr>
  </w:style>
  <w:style w:type="paragraph" w:styleId="Textomacro">
    <w:name w:val="macro"/>
    <w:link w:val="TextomacroCar"/>
    <w:semiHidden/>
    <w:rsid w:val="00473421"/>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GB" w:eastAsia="zh-CN"/>
    </w:rPr>
  </w:style>
  <w:style w:type="character" w:customStyle="1" w:styleId="TextomacroCar">
    <w:name w:val="Texto macro Car"/>
    <w:basedOn w:val="Fuentedeprrafopredeter"/>
    <w:link w:val="Textomacro"/>
    <w:semiHidden/>
    <w:rsid w:val="00473421"/>
    <w:rPr>
      <w:rFonts w:ascii="Courier New" w:hAnsi="Courier New" w:cs="Courier New"/>
      <w:lang w:val="en-GB" w:eastAsia="zh-CN"/>
    </w:rPr>
  </w:style>
  <w:style w:type="paragraph" w:styleId="Ttulo">
    <w:name w:val="Title"/>
    <w:basedOn w:val="Normal"/>
    <w:link w:val="TtuloCar"/>
    <w:uiPriority w:val="10"/>
    <w:qFormat/>
    <w:rsid w:val="00473421"/>
    <w:pPr>
      <w:tabs>
        <w:tab w:val="left" w:pos="850"/>
        <w:tab w:val="left" w:pos="1191"/>
        <w:tab w:val="left" w:pos="1531"/>
      </w:tabs>
      <w:spacing w:before="240" w:after="60"/>
      <w:jc w:val="center"/>
      <w:outlineLvl w:val="0"/>
    </w:pPr>
    <w:rPr>
      <w:rFonts w:ascii="Arial" w:hAnsi="Arial" w:cs="Arial"/>
      <w:b/>
      <w:bCs/>
      <w:kern w:val="28"/>
      <w:sz w:val="32"/>
      <w:szCs w:val="32"/>
      <w:lang w:eastAsia="zh-CN"/>
    </w:rPr>
  </w:style>
  <w:style w:type="character" w:customStyle="1" w:styleId="TtuloCar">
    <w:name w:val="Título Car"/>
    <w:basedOn w:val="Fuentedeprrafopredeter"/>
    <w:link w:val="Ttulo"/>
    <w:uiPriority w:val="10"/>
    <w:rsid w:val="00473421"/>
    <w:rPr>
      <w:rFonts w:ascii="Arial" w:hAnsi="Arial" w:cs="Arial"/>
      <w:b/>
      <w:bCs/>
      <w:kern w:val="28"/>
      <w:sz w:val="32"/>
      <w:szCs w:val="32"/>
      <w:lang w:val="en-GB" w:eastAsia="zh-CN"/>
    </w:rPr>
  </w:style>
  <w:style w:type="paragraph" w:styleId="Encabezadodenota">
    <w:name w:val="Note Heading"/>
    <w:basedOn w:val="Normal"/>
    <w:next w:val="Normal"/>
    <w:link w:val="EncabezadodenotaCar"/>
    <w:rsid w:val="00473421"/>
    <w:pPr>
      <w:tabs>
        <w:tab w:val="left" w:pos="850"/>
        <w:tab w:val="left" w:pos="1191"/>
        <w:tab w:val="left" w:pos="1531"/>
      </w:tabs>
      <w:jc w:val="both"/>
    </w:pPr>
    <w:rPr>
      <w:lang w:eastAsia="zh-CN"/>
    </w:rPr>
  </w:style>
  <w:style w:type="character" w:customStyle="1" w:styleId="EncabezadodenotaCar">
    <w:name w:val="Encabezado de nota Car"/>
    <w:basedOn w:val="Fuentedeprrafopredeter"/>
    <w:link w:val="Encabezadodenota"/>
    <w:rsid w:val="00473421"/>
    <w:rPr>
      <w:sz w:val="22"/>
      <w:szCs w:val="22"/>
      <w:lang w:val="en-GB" w:eastAsia="zh-CN"/>
    </w:rPr>
  </w:style>
  <w:style w:type="paragraph" w:styleId="Encabezadodelista">
    <w:name w:val="toa heading"/>
    <w:basedOn w:val="Normal"/>
    <w:next w:val="Normal"/>
    <w:semiHidden/>
    <w:rsid w:val="00473421"/>
    <w:pPr>
      <w:tabs>
        <w:tab w:val="left" w:pos="850"/>
        <w:tab w:val="left" w:pos="1191"/>
        <w:tab w:val="left" w:pos="1531"/>
      </w:tabs>
      <w:spacing w:before="120"/>
      <w:jc w:val="both"/>
    </w:pPr>
    <w:rPr>
      <w:rFonts w:ascii="Arial" w:hAnsi="Arial" w:cs="Arial"/>
      <w:b/>
      <w:bCs/>
      <w:sz w:val="24"/>
      <w:szCs w:val="24"/>
      <w:lang w:eastAsia="zh-CN"/>
    </w:rPr>
  </w:style>
  <w:style w:type="paragraph" w:styleId="TDC6">
    <w:name w:val="toc 6"/>
    <w:basedOn w:val="Normal"/>
    <w:next w:val="Normal"/>
    <w:qFormat/>
    <w:rsid w:val="00473421"/>
    <w:pPr>
      <w:ind w:left="1100"/>
      <w:jc w:val="both"/>
    </w:pPr>
    <w:rPr>
      <w:lang w:eastAsia="zh-CN"/>
    </w:rPr>
  </w:style>
  <w:style w:type="paragraph" w:styleId="TDC7">
    <w:name w:val="toc 7"/>
    <w:basedOn w:val="Normal"/>
    <w:next w:val="Normal"/>
    <w:qFormat/>
    <w:rsid w:val="00473421"/>
    <w:pPr>
      <w:ind w:left="1320"/>
      <w:jc w:val="both"/>
    </w:pPr>
    <w:rPr>
      <w:lang w:eastAsia="zh-CN"/>
    </w:rPr>
  </w:style>
  <w:style w:type="paragraph" w:styleId="TDC8">
    <w:name w:val="toc 8"/>
    <w:basedOn w:val="Normal"/>
    <w:next w:val="Normal"/>
    <w:qFormat/>
    <w:rsid w:val="00473421"/>
    <w:pPr>
      <w:ind w:left="1540"/>
      <w:jc w:val="both"/>
    </w:pPr>
    <w:rPr>
      <w:lang w:eastAsia="zh-CN"/>
    </w:rPr>
  </w:style>
  <w:style w:type="paragraph" w:styleId="Bibliografa">
    <w:name w:val="Bibliography"/>
    <w:basedOn w:val="Normal"/>
    <w:next w:val="Normal"/>
    <w:uiPriority w:val="37"/>
    <w:semiHidden/>
    <w:unhideWhenUsed/>
    <w:rsid w:val="00473421"/>
    <w:pPr>
      <w:tabs>
        <w:tab w:val="left" w:pos="850"/>
        <w:tab w:val="left" w:pos="1191"/>
        <w:tab w:val="left" w:pos="1531"/>
      </w:tabs>
      <w:jc w:val="both"/>
    </w:pPr>
    <w:rPr>
      <w:lang w:eastAsia="zh-CN"/>
    </w:rPr>
  </w:style>
  <w:style w:type="paragraph" w:styleId="Citaintensa">
    <w:name w:val="Intense Quote"/>
    <w:basedOn w:val="Normal"/>
    <w:next w:val="Normal"/>
    <w:link w:val="CitaintensaCar"/>
    <w:uiPriority w:val="30"/>
    <w:qFormat/>
    <w:rsid w:val="00473421"/>
    <w:pPr>
      <w:pBdr>
        <w:bottom w:val="single" w:sz="4" w:space="4" w:color="4F81BD" w:themeColor="accent1"/>
      </w:pBdr>
      <w:tabs>
        <w:tab w:val="left" w:pos="850"/>
        <w:tab w:val="left" w:pos="1191"/>
        <w:tab w:val="left" w:pos="1531"/>
      </w:tabs>
      <w:spacing w:before="200" w:after="280"/>
      <w:ind w:left="936" w:right="936"/>
      <w:jc w:val="both"/>
    </w:pPr>
    <w:rPr>
      <w:b/>
      <w:bCs/>
      <w:i/>
      <w:iCs/>
      <w:color w:val="4F81BD" w:themeColor="accent1"/>
      <w:lang w:eastAsia="zh-CN"/>
    </w:rPr>
  </w:style>
  <w:style w:type="character" w:customStyle="1" w:styleId="CitaintensaCar">
    <w:name w:val="Cita intensa Car"/>
    <w:basedOn w:val="Fuentedeprrafopredeter"/>
    <w:link w:val="Citaintensa"/>
    <w:uiPriority w:val="30"/>
    <w:rsid w:val="00473421"/>
    <w:rPr>
      <w:b/>
      <w:bCs/>
      <w:i/>
      <w:iCs/>
      <w:color w:val="4F81BD" w:themeColor="accent1"/>
      <w:sz w:val="22"/>
      <w:szCs w:val="22"/>
      <w:lang w:val="en-GB" w:eastAsia="zh-CN"/>
    </w:rPr>
  </w:style>
  <w:style w:type="paragraph" w:styleId="Prrafodelista">
    <w:name w:val="List Paragraph"/>
    <w:basedOn w:val="Normal"/>
    <w:uiPriority w:val="34"/>
    <w:qFormat/>
    <w:rsid w:val="00473421"/>
    <w:pPr>
      <w:tabs>
        <w:tab w:val="left" w:pos="850"/>
        <w:tab w:val="left" w:pos="1191"/>
        <w:tab w:val="left" w:pos="1531"/>
      </w:tabs>
      <w:ind w:left="720"/>
      <w:contextualSpacing/>
      <w:jc w:val="both"/>
    </w:pPr>
    <w:rPr>
      <w:lang w:eastAsia="zh-CN"/>
    </w:rPr>
  </w:style>
  <w:style w:type="paragraph" w:styleId="Sinespaciado">
    <w:name w:val="No Spacing"/>
    <w:uiPriority w:val="1"/>
    <w:qFormat/>
    <w:rsid w:val="00473421"/>
    <w:pPr>
      <w:tabs>
        <w:tab w:val="left" w:pos="850"/>
        <w:tab w:val="left" w:pos="1191"/>
        <w:tab w:val="left" w:pos="1531"/>
      </w:tabs>
      <w:jc w:val="both"/>
    </w:pPr>
    <w:rPr>
      <w:sz w:val="22"/>
      <w:szCs w:val="22"/>
      <w:lang w:val="en-GB" w:eastAsia="zh-CN"/>
    </w:rPr>
  </w:style>
  <w:style w:type="paragraph" w:styleId="Cita">
    <w:name w:val="Quote"/>
    <w:basedOn w:val="Normal"/>
    <w:next w:val="Normal"/>
    <w:link w:val="CitaCar"/>
    <w:uiPriority w:val="29"/>
    <w:qFormat/>
    <w:rsid w:val="00473421"/>
    <w:pPr>
      <w:tabs>
        <w:tab w:val="left" w:pos="850"/>
        <w:tab w:val="left" w:pos="1191"/>
        <w:tab w:val="left" w:pos="1531"/>
      </w:tabs>
      <w:jc w:val="both"/>
    </w:pPr>
    <w:rPr>
      <w:i/>
      <w:iCs/>
      <w:color w:val="000000" w:themeColor="text1"/>
      <w:lang w:eastAsia="zh-CN"/>
    </w:rPr>
  </w:style>
  <w:style w:type="character" w:customStyle="1" w:styleId="CitaCar">
    <w:name w:val="Cita Car"/>
    <w:basedOn w:val="Fuentedeprrafopredeter"/>
    <w:link w:val="Cita"/>
    <w:uiPriority w:val="29"/>
    <w:rsid w:val="00473421"/>
    <w:rPr>
      <w:i/>
      <w:iCs/>
      <w:color w:val="000000" w:themeColor="text1"/>
      <w:sz w:val="22"/>
      <w:szCs w:val="22"/>
      <w:lang w:val="en-GB" w:eastAsia="zh-CN"/>
    </w:rPr>
  </w:style>
  <w:style w:type="paragraph" w:styleId="Encabezadodetabladecontenido">
    <w:name w:val="TOC Heading"/>
    <w:basedOn w:val="Ttulo1"/>
    <w:next w:val="Normal"/>
    <w:uiPriority w:val="39"/>
    <w:unhideWhenUsed/>
    <w:qFormat/>
    <w:rsid w:val="00473421"/>
    <w:pPr>
      <w:keepLines/>
      <w:tabs>
        <w:tab w:val="left" w:pos="850"/>
        <w:tab w:val="left" w:pos="1191"/>
        <w:tab w:val="left" w:pos="1531"/>
      </w:tabs>
      <w:spacing w:before="480" w:after="0"/>
      <w:jc w:val="both"/>
      <w:outlineLvl w:val="9"/>
    </w:pPr>
    <w:rPr>
      <w:rFonts w:asciiTheme="majorHAnsi" w:eastAsiaTheme="majorEastAsia" w:hAnsiTheme="majorHAnsi" w:cstheme="majorBidi"/>
      <w:color w:val="365F91" w:themeColor="accent1" w:themeShade="BF"/>
      <w:kern w:val="0"/>
      <w:szCs w:val="28"/>
      <w:lang w:eastAsia="zh-CN"/>
    </w:rPr>
  </w:style>
  <w:style w:type="character" w:customStyle="1" w:styleId="CitationChar">
    <w:name w:val="Citation Char"/>
    <w:basedOn w:val="Fuentedeprrafopredeter"/>
    <w:link w:val="Citation"/>
    <w:rsid w:val="00473421"/>
    <w:rPr>
      <w:i/>
      <w:sz w:val="22"/>
      <w:szCs w:val="22"/>
    </w:rPr>
  </w:style>
  <w:style w:type="character" w:customStyle="1" w:styleId="Ttulo1Car">
    <w:name w:val="Título 1 Car"/>
    <w:basedOn w:val="Fuentedeprrafopredeter"/>
    <w:link w:val="Ttulo1"/>
    <w:uiPriority w:val="9"/>
    <w:rsid w:val="00473421"/>
    <w:rPr>
      <w:b/>
      <w:bCs/>
      <w:kern w:val="28"/>
      <w:sz w:val="28"/>
      <w:szCs w:val="24"/>
      <w:lang w:val="en-GB"/>
    </w:rPr>
  </w:style>
  <w:style w:type="character" w:customStyle="1" w:styleId="Ttulo2Car">
    <w:name w:val="Título 2 Car"/>
    <w:basedOn w:val="Fuentedeprrafopredeter"/>
    <w:link w:val="Ttulo2"/>
    <w:rsid w:val="00473421"/>
    <w:rPr>
      <w:b/>
      <w:bCs/>
      <w:sz w:val="24"/>
      <w:szCs w:val="24"/>
      <w:lang w:val="en-GB"/>
    </w:rPr>
  </w:style>
  <w:style w:type="character" w:customStyle="1" w:styleId="Ttulo3Car">
    <w:name w:val="Título 3 Car"/>
    <w:basedOn w:val="Fuentedeprrafopredeter"/>
    <w:link w:val="Ttulo3"/>
    <w:rsid w:val="00473421"/>
    <w:rPr>
      <w:b/>
      <w:bCs/>
      <w:i/>
      <w:iCs/>
      <w:sz w:val="24"/>
      <w:szCs w:val="24"/>
      <w:lang w:val="en-GB"/>
    </w:rPr>
  </w:style>
  <w:style w:type="character" w:customStyle="1" w:styleId="Ttulo4Car">
    <w:name w:val="Título 4 Car"/>
    <w:basedOn w:val="Fuentedeprrafopredeter"/>
    <w:link w:val="Ttulo4"/>
    <w:rsid w:val="00473421"/>
    <w:rPr>
      <w:i/>
      <w:iCs/>
      <w:sz w:val="24"/>
      <w:szCs w:val="24"/>
      <w:lang w:val="en-GB"/>
    </w:rPr>
  </w:style>
  <w:style w:type="character" w:customStyle="1" w:styleId="Ttulo5Car">
    <w:name w:val="Título 5 Car"/>
    <w:basedOn w:val="Fuentedeprrafopredeter"/>
    <w:link w:val="Ttulo5"/>
    <w:rsid w:val="00473421"/>
    <w:rPr>
      <w:sz w:val="24"/>
      <w:szCs w:val="24"/>
      <w:lang w:val="en-GB"/>
    </w:rPr>
  </w:style>
  <w:style w:type="character" w:customStyle="1" w:styleId="TextonotaalfinalCar">
    <w:name w:val="Texto nota al final Car"/>
    <w:basedOn w:val="Fuentedeprrafopredeter"/>
    <w:link w:val="Textonotaalfinal"/>
    <w:uiPriority w:val="99"/>
    <w:rsid w:val="00473421"/>
    <w:rPr>
      <w:sz w:val="21"/>
      <w:szCs w:val="21"/>
      <w:lang w:val="en-GB"/>
    </w:rPr>
  </w:style>
  <w:style w:type="character" w:customStyle="1" w:styleId="EncabezadoCar">
    <w:name w:val="Encabezado Car"/>
    <w:basedOn w:val="Fuentedeprrafopredeter"/>
    <w:link w:val="Encabezado"/>
    <w:uiPriority w:val="99"/>
    <w:rsid w:val="00473421"/>
    <w:rPr>
      <w:caps/>
      <w:sz w:val="14"/>
      <w:szCs w:val="14"/>
      <w:lang w:val="en-GB"/>
    </w:rPr>
  </w:style>
  <w:style w:type="character" w:customStyle="1" w:styleId="PiedepginaCar">
    <w:name w:val="Pie de página Car"/>
    <w:basedOn w:val="Fuentedeprrafopredeter"/>
    <w:link w:val="Piedepgina"/>
    <w:uiPriority w:val="99"/>
    <w:rsid w:val="00473421"/>
    <w:rPr>
      <w:caps/>
      <w:sz w:val="12"/>
      <w:szCs w:val="12"/>
      <w:lang w:val="en-GB"/>
    </w:rPr>
  </w:style>
  <w:style w:type="character" w:styleId="Refdenotaalfinal">
    <w:name w:val="endnote reference"/>
    <w:basedOn w:val="Fuentedeprrafopredeter"/>
    <w:uiPriority w:val="99"/>
    <w:unhideWhenUsed/>
    <w:rsid w:val="00473421"/>
    <w:rPr>
      <w:vertAlign w:val="superscript"/>
    </w:rPr>
  </w:style>
  <w:style w:type="character" w:styleId="Refdecomentario">
    <w:name w:val="annotation reference"/>
    <w:basedOn w:val="Fuentedeprrafopredeter"/>
    <w:uiPriority w:val="99"/>
    <w:semiHidden/>
    <w:unhideWhenUsed/>
    <w:rsid w:val="00473421"/>
    <w:rPr>
      <w:sz w:val="16"/>
      <w:szCs w:val="16"/>
    </w:rPr>
  </w:style>
  <w:style w:type="character" w:customStyle="1" w:styleId="bathname60388064624289061d5073fe37919468">
    <w:name w:val="bath_name_60388064624289061d5073fe37919468"/>
    <w:basedOn w:val="Fuentedeprrafopredeter"/>
    <w:rsid w:val="00473421"/>
  </w:style>
  <w:style w:type="character" w:customStyle="1" w:styleId="personname3">
    <w:name w:val="person_name3"/>
    <w:basedOn w:val="Fuentedeprrafopredeter"/>
    <w:rsid w:val="00473421"/>
  </w:style>
  <w:style w:type="character" w:styleId="Enfasis">
    <w:name w:val="Emphasis"/>
    <w:basedOn w:val="Fuentedeprrafopredeter"/>
    <w:uiPriority w:val="20"/>
    <w:qFormat/>
    <w:rsid w:val="00473421"/>
    <w:rPr>
      <w:i/>
      <w:iCs/>
    </w:rPr>
  </w:style>
  <w:style w:type="character" w:styleId="Hipervnculo">
    <w:name w:val="Hyperlink"/>
    <w:basedOn w:val="Fuentedeprrafopredeter"/>
    <w:uiPriority w:val="99"/>
    <w:unhideWhenUsed/>
    <w:rsid w:val="00473421"/>
    <w:rPr>
      <w:strike w:val="0"/>
      <w:dstrike w:val="0"/>
      <w:color w:val="337AB7"/>
      <w:u w:val="none"/>
      <w:effect w:val="none"/>
      <w:shd w:val="clear" w:color="auto" w:fill="auto"/>
    </w:rPr>
  </w:style>
  <w:style w:type="character" w:customStyle="1" w:styleId="tgc">
    <w:name w:val="_tgc"/>
    <w:basedOn w:val="Fuentedeprrafopredeter"/>
    <w:rsid w:val="00473421"/>
  </w:style>
  <w:style w:type="table" w:styleId="Tablaconcuadrcula">
    <w:name w:val="Table Grid"/>
    <w:basedOn w:val="Tablanormal"/>
    <w:uiPriority w:val="59"/>
    <w:rsid w:val="00473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DocParagraphChar">
    <w:name w:val="Num-Doc Paragraph Char"/>
    <w:link w:val="Num-DocParagraph"/>
    <w:locked/>
    <w:rsid w:val="00473421"/>
    <w:rPr>
      <w:sz w:val="22"/>
      <w:szCs w:val="22"/>
    </w:rPr>
  </w:style>
  <w:style w:type="paragraph" w:customStyle="1" w:styleId="Default">
    <w:name w:val="Default"/>
    <w:rsid w:val="00473421"/>
    <w:pPr>
      <w:autoSpaceDE w:val="0"/>
      <w:autoSpaceDN w:val="0"/>
      <w:adjustRightInd w:val="0"/>
    </w:pPr>
    <w:rPr>
      <w:rFonts w:ascii="Calibri" w:eastAsiaTheme="minorHAnsi" w:hAnsi="Calibri" w:cs="Calibri"/>
      <w:color w:val="000000"/>
      <w:sz w:val="24"/>
      <w:szCs w:val="24"/>
      <w:lang w:val="en-GB"/>
    </w:rPr>
  </w:style>
  <w:style w:type="paragraph" w:styleId="Revisin">
    <w:name w:val="Revision"/>
    <w:hidden/>
    <w:uiPriority w:val="99"/>
    <w:semiHidden/>
    <w:rsid w:val="00473421"/>
    <w:rPr>
      <w:sz w:val="22"/>
      <w:szCs w:val="22"/>
      <w:lang w:val="en-GB" w:eastAsia="zh-CN"/>
    </w:rPr>
  </w:style>
  <w:style w:type="character" w:customStyle="1" w:styleId="authorname">
    <w:name w:val="authorname"/>
    <w:basedOn w:val="Fuentedeprrafopredeter"/>
    <w:rsid w:val="00473421"/>
  </w:style>
  <w:style w:type="character" w:styleId="Hipervnculovisitado">
    <w:name w:val="FollowedHyperlink"/>
    <w:basedOn w:val="Fuentedeprrafopredeter"/>
    <w:uiPriority w:val="99"/>
    <w:semiHidden/>
    <w:unhideWhenUsed/>
    <w:rsid w:val="00473421"/>
    <w:rPr>
      <w:color w:val="800080" w:themeColor="followedHyperlink"/>
      <w:u w:val="single"/>
    </w:rPr>
  </w:style>
  <w:style w:type="character" w:customStyle="1" w:styleId="Biblio-EntryChar">
    <w:name w:val="Biblio-Entry Char"/>
    <w:basedOn w:val="Fuentedeprrafopredeter"/>
    <w:link w:val="Biblio-Entry"/>
    <w:rsid w:val="00473421"/>
    <w:rPr>
      <w:sz w:val="22"/>
      <w:szCs w:val="22"/>
    </w:rPr>
  </w:style>
  <w:style w:type="paragraph" w:customStyle="1" w:styleId="Citation1">
    <w:name w:val="Citation1"/>
    <w:basedOn w:val="Textodecuerpo"/>
    <w:rsid w:val="00473421"/>
    <w:pPr>
      <w:tabs>
        <w:tab w:val="clear" w:pos="1361"/>
        <w:tab w:val="clear" w:pos="1701"/>
        <w:tab w:val="clear" w:pos="2041"/>
        <w:tab w:val="left" w:pos="850"/>
        <w:tab w:val="left" w:pos="1191"/>
        <w:tab w:val="left" w:pos="1531"/>
      </w:tabs>
      <w:spacing w:after="240"/>
      <w:ind w:left="850" w:right="0" w:firstLine="0"/>
      <w:jc w:val="left"/>
    </w:pPr>
    <w:rPr>
      <w:lang w:val="en-GB" w:eastAsia="zh-CN"/>
    </w:rPr>
  </w:style>
  <w:style w:type="table" w:styleId="Sombreadoclaro">
    <w:name w:val="Light Shading"/>
    <w:basedOn w:val="Tablanormal"/>
    <w:uiPriority w:val="60"/>
    <w:rsid w:val="00473421"/>
    <w:rPr>
      <w:rFonts w:asciiTheme="minorHAnsi" w:eastAsiaTheme="minorHAnsi" w:hAnsiTheme="minorHAnsi" w:cstheme="minorBid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73421"/>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issutil">
    <w:name w:val="Subtle Emphasis"/>
    <w:basedOn w:val="Fuentedeprrafopredeter"/>
    <w:uiPriority w:val="19"/>
    <w:qFormat/>
    <w:rsid w:val="00473421"/>
    <w:rPr>
      <w:i/>
      <w:iCs/>
      <w:color w:val="808080" w:themeColor="text1" w:themeTint="7F"/>
    </w:rPr>
  </w:style>
  <w:style w:type="character" w:customStyle="1" w:styleId="st">
    <w:name w:val="st"/>
    <w:basedOn w:val="Fuentedeprrafopredeter"/>
    <w:rsid w:val="00473421"/>
  </w:style>
  <w:style w:type="paragraph" w:customStyle="1" w:styleId="FigureSubtitle">
    <w:name w:val="Figure Subtitle"/>
    <w:basedOn w:val="Normal"/>
    <w:qFormat/>
    <w:rsid w:val="00473421"/>
    <w:pPr>
      <w:spacing w:after="120"/>
      <w:jc w:val="center"/>
    </w:pPr>
    <w:rPr>
      <w:rFonts w:ascii="Arial" w:eastAsiaTheme="minorHAnsi" w:hAnsi="Arial" w:cs="Arial"/>
      <w:bCs/>
      <w:sz w:val="18"/>
      <w:szCs w:val="18"/>
    </w:rPr>
  </w:style>
  <w:style w:type="character" w:customStyle="1" w:styleId="SourceDescriptionChar">
    <w:name w:val="Source Description Char"/>
    <w:aliases w:val="sr + Italic Char"/>
    <w:link w:val="SourceDescription"/>
    <w:rsid w:val="00473421"/>
    <w:rPr>
      <w:sz w:val="18"/>
      <w:szCs w:val="18"/>
      <w:lang w:val="en-GB"/>
    </w:rPr>
  </w:style>
  <w:style w:type="character" w:customStyle="1" w:styleId="BoxBodyTextChar">
    <w:name w:val="Box Body Text Char"/>
    <w:link w:val="BoxBodyText"/>
    <w:locked/>
    <w:rsid w:val="003C68EE"/>
    <w:rPr>
      <w:rFonts w:cs="Arial"/>
    </w:rPr>
  </w:style>
  <w:style w:type="paragraph" w:customStyle="1" w:styleId="Biblio-EntryJustified">
    <w:name w:val="Biblio-Entry + Justified"/>
    <w:basedOn w:val="Biblio-Entry"/>
    <w:rsid w:val="00473421"/>
    <w:pPr>
      <w:tabs>
        <w:tab w:val="clear" w:pos="1361"/>
        <w:tab w:val="clear" w:pos="1701"/>
        <w:tab w:val="clear" w:pos="2041"/>
        <w:tab w:val="left" w:pos="850"/>
        <w:tab w:val="left" w:pos="1191"/>
        <w:tab w:val="left" w:pos="1531"/>
      </w:tabs>
      <w:spacing w:after="240"/>
      <w:ind w:left="567" w:right="0" w:hanging="567"/>
    </w:pPr>
    <w:rPr>
      <w:lang w:val="en-GB" w:eastAsia="zh-CN"/>
    </w:rPr>
  </w:style>
  <w:style w:type="character" w:customStyle="1" w:styleId="style2">
    <w:name w:val="style2"/>
    <w:basedOn w:val="Fuentedeprrafopredeter"/>
    <w:rsid w:val="00473421"/>
  </w:style>
  <w:style w:type="character" w:customStyle="1" w:styleId="apple-converted-space">
    <w:name w:val="apple-converted-space"/>
    <w:basedOn w:val="Fuentedeprrafopredeter"/>
    <w:rsid w:val="00473421"/>
  </w:style>
  <w:style w:type="paragraph" w:customStyle="1" w:styleId="FigureNoteItalics">
    <w:name w:val="Figure Note + Italics"/>
    <w:basedOn w:val="FigureNote"/>
    <w:rsid w:val="00473421"/>
    <w:pPr>
      <w:tabs>
        <w:tab w:val="left" w:pos="850"/>
        <w:tab w:val="left" w:pos="1191"/>
        <w:tab w:val="left" w:pos="1531"/>
      </w:tabs>
      <w:spacing w:before="0"/>
    </w:pPr>
    <w:rPr>
      <w:rFonts w:ascii="Arial" w:hAnsi="Arial"/>
      <w:sz w:val="16"/>
      <w:lang w:eastAsia="zh-CN"/>
    </w:rPr>
  </w:style>
  <w:style w:type="paragraph" w:customStyle="1" w:styleId="EndnoteText9pt">
    <w:name w:val="Endnote Text + 9 pt"/>
    <w:basedOn w:val="Num-DocParagraph"/>
    <w:rsid w:val="00473421"/>
    <w:pPr>
      <w:tabs>
        <w:tab w:val="clear" w:pos="1361"/>
        <w:tab w:val="clear" w:pos="1701"/>
        <w:tab w:val="clear" w:pos="2041"/>
        <w:tab w:val="left" w:pos="850"/>
        <w:tab w:val="left" w:pos="1191"/>
        <w:tab w:val="left" w:pos="1531"/>
      </w:tabs>
      <w:spacing w:before="240" w:after="240"/>
      <w:ind w:left="0" w:right="0"/>
    </w:pPr>
    <w:rPr>
      <w:lang w:val="en-GB" w:eastAsia="zh-CN"/>
    </w:rPr>
  </w:style>
  <w:style w:type="character" w:customStyle="1" w:styleId="spelle">
    <w:name w:val="spelle"/>
    <w:basedOn w:val="Fuentedeprrafopredeter"/>
    <w:rsid w:val="00473421"/>
  </w:style>
  <w:style w:type="paragraph" w:customStyle="1" w:styleId="NormalAfter12pt">
    <w:name w:val="Normal + After:  12 pt"/>
    <w:basedOn w:val="Normal"/>
    <w:rsid w:val="00473421"/>
    <w:pPr>
      <w:tabs>
        <w:tab w:val="left" w:pos="850"/>
        <w:tab w:val="left" w:pos="1191"/>
        <w:tab w:val="left" w:pos="1531"/>
      </w:tabs>
      <w:jc w:val="both"/>
    </w:pPr>
    <w:rPr>
      <w:noProof/>
      <w:lang w:eastAsia="en-GB"/>
    </w:rPr>
  </w:style>
  <w:style w:type="paragraph" w:customStyle="1" w:styleId="Charttitle0">
    <w:name w:val="Chart title"/>
    <w:basedOn w:val="Ttulo3"/>
    <w:link w:val="CharttitleChar"/>
    <w:qFormat/>
    <w:rsid w:val="00473421"/>
    <w:pPr>
      <w:keepLines/>
      <w:spacing w:before="200" w:after="0"/>
      <w:ind w:left="0" w:right="0"/>
    </w:pPr>
    <w:rPr>
      <w:rFonts w:ascii="Arial" w:eastAsiaTheme="majorEastAsia" w:hAnsi="Arial" w:cs="Arial"/>
      <w:iCs w:val="0"/>
      <w:sz w:val="18"/>
      <w:szCs w:val="18"/>
    </w:rPr>
  </w:style>
  <w:style w:type="character" w:customStyle="1" w:styleId="CharttitleChar">
    <w:name w:val="Chart title Char"/>
    <w:basedOn w:val="Fuentedeprrafopredeter"/>
    <w:link w:val="Charttitle0"/>
    <w:rsid w:val="00473421"/>
    <w:rPr>
      <w:rFonts w:ascii="Arial" w:eastAsiaTheme="majorEastAsia" w:hAnsi="Arial" w:cs="Arial"/>
      <w:b/>
      <w:bCs/>
      <w:i/>
      <w:sz w:val="18"/>
      <w:szCs w:val="18"/>
      <w:lang w:val="en-GB"/>
    </w:rPr>
  </w:style>
  <w:style w:type="paragraph" w:customStyle="1" w:styleId="Chartnotes">
    <w:name w:val="Chart notes"/>
    <w:basedOn w:val="Normal"/>
    <w:link w:val="ChartnotesChar"/>
    <w:qFormat/>
    <w:rsid w:val="00473421"/>
    <w:pPr>
      <w:spacing w:before="60" w:after="60"/>
    </w:pPr>
    <w:rPr>
      <w:rFonts w:ascii="Arial" w:eastAsiaTheme="minorHAnsi" w:hAnsi="Arial" w:cs="Arial"/>
      <w:i/>
      <w:sz w:val="16"/>
      <w:szCs w:val="16"/>
    </w:rPr>
  </w:style>
  <w:style w:type="character" w:customStyle="1" w:styleId="ChartnotesChar">
    <w:name w:val="Chart notes Char"/>
    <w:basedOn w:val="Fuentedeprrafopredeter"/>
    <w:link w:val="Chartnotes"/>
    <w:rsid w:val="00473421"/>
    <w:rPr>
      <w:rFonts w:ascii="Arial" w:eastAsiaTheme="minorHAnsi" w:hAnsi="Arial" w:cs="Arial"/>
      <w:i/>
      <w:sz w:val="16"/>
      <w:szCs w:val="16"/>
      <w:lang w:val="en-GB"/>
    </w:rPr>
  </w:style>
  <w:style w:type="character" w:customStyle="1" w:styleId="st1">
    <w:name w:val="st1"/>
    <w:basedOn w:val="Fuentedeprrafopredeter"/>
    <w:rsid w:val="00473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4845">
      <w:bodyDiv w:val="1"/>
      <w:marLeft w:val="0"/>
      <w:marRight w:val="0"/>
      <w:marTop w:val="0"/>
      <w:marBottom w:val="0"/>
      <w:divBdr>
        <w:top w:val="none" w:sz="0" w:space="0" w:color="auto"/>
        <w:left w:val="none" w:sz="0" w:space="0" w:color="auto"/>
        <w:bottom w:val="none" w:sz="0" w:space="0" w:color="auto"/>
        <w:right w:val="none" w:sz="0" w:space="0" w:color="auto"/>
      </w:divBdr>
    </w:div>
    <w:div w:id="126706759">
      <w:bodyDiv w:val="1"/>
      <w:marLeft w:val="0"/>
      <w:marRight w:val="0"/>
      <w:marTop w:val="0"/>
      <w:marBottom w:val="0"/>
      <w:divBdr>
        <w:top w:val="none" w:sz="0" w:space="0" w:color="auto"/>
        <w:left w:val="none" w:sz="0" w:space="0" w:color="auto"/>
        <w:bottom w:val="none" w:sz="0" w:space="0" w:color="auto"/>
        <w:right w:val="none" w:sz="0" w:space="0" w:color="auto"/>
      </w:divBdr>
    </w:div>
    <w:div w:id="153106202">
      <w:bodyDiv w:val="1"/>
      <w:marLeft w:val="0"/>
      <w:marRight w:val="0"/>
      <w:marTop w:val="0"/>
      <w:marBottom w:val="0"/>
      <w:divBdr>
        <w:top w:val="none" w:sz="0" w:space="0" w:color="auto"/>
        <w:left w:val="none" w:sz="0" w:space="0" w:color="auto"/>
        <w:bottom w:val="none" w:sz="0" w:space="0" w:color="auto"/>
        <w:right w:val="none" w:sz="0" w:space="0" w:color="auto"/>
      </w:divBdr>
    </w:div>
    <w:div w:id="420221782">
      <w:bodyDiv w:val="1"/>
      <w:marLeft w:val="0"/>
      <w:marRight w:val="0"/>
      <w:marTop w:val="0"/>
      <w:marBottom w:val="0"/>
      <w:divBdr>
        <w:top w:val="none" w:sz="0" w:space="0" w:color="auto"/>
        <w:left w:val="none" w:sz="0" w:space="0" w:color="auto"/>
        <w:bottom w:val="none" w:sz="0" w:space="0" w:color="auto"/>
        <w:right w:val="none" w:sz="0" w:space="0" w:color="auto"/>
      </w:divBdr>
    </w:div>
    <w:div w:id="432020273">
      <w:bodyDiv w:val="1"/>
      <w:marLeft w:val="0"/>
      <w:marRight w:val="0"/>
      <w:marTop w:val="0"/>
      <w:marBottom w:val="0"/>
      <w:divBdr>
        <w:top w:val="none" w:sz="0" w:space="0" w:color="auto"/>
        <w:left w:val="none" w:sz="0" w:space="0" w:color="auto"/>
        <w:bottom w:val="none" w:sz="0" w:space="0" w:color="auto"/>
        <w:right w:val="none" w:sz="0" w:space="0" w:color="auto"/>
      </w:divBdr>
    </w:div>
    <w:div w:id="559444589">
      <w:bodyDiv w:val="1"/>
      <w:marLeft w:val="0"/>
      <w:marRight w:val="0"/>
      <w:marTop w:val="0"/>
      <w:marBottom w:val="0"/>
      <w:divBdr>
        <w:top w:val="none" w:sz="0" w:space="0" w:color="auto"/>
        <w:left w:val="none" w:sz="0" w:space="0" w:color="auto"/>
        <w:bottom w:val="none" w:sz="0" w:space="0" w:color="auto"/>
        <w:right w:val="none" w:sz="0" w:space="0" w:color="auto"/>
      </w:divBdr>
    </w:div>
    <w:div w:id="794639201">
      <w:bodyDiv w:val="1"/>
      <w:marLeft w:val="0"/>
      <w:marRight w:val="0"/>
      <w:marTop w:val="0"/>
      <w:marBottom w:val="0"/>
      <w:divBdr>
        <w:top w:val="none" w:sz="0" w:space="0" w:color="auto"/>
        <w:left w:val="none" w:sz="0" w:space="0" w:color="auto"/>
        <w:bottom w:val="none" w:sz="0" w:space="0" w:color="auto"/>
        <w:right w:val="none" w:sz="0" w:space="0" w:color="auto"/>
      </w:divBdr>
    </w:div>
    <w:div w:id="973101687">
      <w:bodyDiv w:val="1"/>
      <w:marLeft w:val="0"/>
      <w:marRight w:val="0"/>
      <w:marTop w:val="0"/>
      <w:marBottom w:val="0"/>
      <w:divBdr>
        <w:top w:val="none" w:sz="0" w:space="0" w:color="auto"/>
        <w:left w:val="none" w:sz="0" w:space="0" w:color="auto"/>
        <w:bottom w:val="none" w:sz="0" w:space="0" w:color="auto"/>
        <w:right w:val="none" w:sz="0" w:space="0" w:color="auto"/>
      </w:divBdr>
    </w:div>
    <w:div w:id="1045374535">
      <w:bodyDiv w:val="1"/>
      <w:marLeft w:val="0"/>
      <w:marRight w:val="0"/>
      <w:marTop w:val="0"/>
      <w:marBottom w:val="0"/>
      <w:divBdr>
        <w:top w:val="none" w:sz="0" w:space="0" w:color="auto"/>
        <w:left w:val="none" w:sz="0" w:space="0" w:color="auto"/>
        <w:bottom w:val="none" w:sz="0" w:space="0" w:color="auto"/>
        <w:right w:val="none" w:sz="0" w:space="0" w:color="auto"/>
      </w:divBdr>
    </w:div>
    <w:div w:id="1255430987">
      <w:bodyDiv w:val="1"/>
      <w:marLeft w:val="0"/>
      <w:marRight w:val="0"/>
      <w:marTop w:val="0"/>
      <w:marBottom w:val="0"/>
      <w:divBdr>
        <w:top w:val="none" w:sz="0" w:space="0" w:color="auto"/>
        <w:left w:val="none" w:sz="0" w:space="0" w:color="auto"/>
        <w:bottom w:val="none" w:sz="0" w:space="0" w:color="auto"/>
        <w:right w:val="none" w:sz="0" w:space="0" w:color="auto"/>
      </w:divBdr>
    </w:div>
    <w:div w:id="1478954923">
      <w:bodyDiv w:val="1"/>
      <w:marLeft w:val="0"/>
      <w:marRight w:val="0"/>
      <w:marTop w:val="0"/>
      <w:marBottom w:val="0"/>
      <w:divBdr>
        <w:top w:val="none" w:sz="0" w:space="0" w:color="auto"/>
        <w:left w:val="none" w:sz="0" w:space="0" w:color="auto"/>
        <w:bottom w:val="none" w:sz="0" w:space="0" w:color="auto"/>
        <w:right w:val="none" w:sz="0" w:space="0" w:color="auto"/>
      </w:divBdr>
    </w:div>
    <w:div w:id="1512910951">
      <w:bodyDiv w:val="1"/>
      <w:marLeft w:val="0"/>
      <w:marRight w:val="0"/>
      <w:marTop w:val="0"/>
      <w:marBottom w:val="0"/>
      <w:divBdr>
        <w:top w:val="none" w:sz="0" w:space="0" w:color="auto"/>
        <w:left w:val="none" w:sz="0" w:space="0" w:color="auto"/>
        <w:bottom w:val="none" w:sz="0" w:space="0" w:color="auto"/>
        <w:right w:val="none" w:sz="0" w:space="0" w:color="auto"/>
      </w:divBdr>
    </w:div>
    <w:div w:id="1525292139">
      <w:bodyDiv w:val="1"/>
      <w:marLeft w:val="0"/>
      <w:marRight w:val="0"/>
      <w:marTop w:val="0"/>
      <w:marBottom w:val="0"/>
      <w:divBdr>
        <w:top w:val="none" w:sz="0" w:space="0" w:color="auto"/>
        <w:left w:val="none" w:sz="0" w:space="0" w:color="auto"/>
        <w:bottom w:val="none" w:sz="0" w:space="0" w:color="auto"/>
        <w:right w:val="none" w:sz="0" w:space="0" w:color="auto"/>
      </w:divBdr>
    </w:div>
    <w:div w:id="2028750626">
      <w:bodyDiv w:val="1"/>
      <w:marLeft w:val="0"/>
      <w:marRight w:val="0"/>
      <w:marTop w:val="0"/>
      <w:marBottom w:val="0"/>
      <w:divBdr>
        <w:top w:val="none" w:sz="0" w:space="0" w:color="auto"/>
        <w:left w:val="none" w:sz="0" w:space="0" w:color="auto"/>
        <w:bottom w:val="none" w:sz="0" w:space="0" w:color="auto"/>
        <w:right w:val="none" w:sz="0" w:space="0" w:color="auto"/>
      </w:divBdr>
    </w:div>
    <w:div w:id="203576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1.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30" Type="http://schemas.openxmlformats.org/officeDocument/2006/relationships/header" Target="header11.xml"/><Relationship Id="rId31" Type="http://schemas.openxmlformats.org/officeDocument/2006/relationships/header" Target="header12.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image" Target="media/image2.emf"/><Relationship Id="rId39" Type="http://schemas.openxmlformats.org/officeDocument/2006/relationships/hyperlink" Target="http://dx.doi.org/10.1787/812017161P1G001.xlsx" TargetMode="External"/><Relationship Id="rId50" Type="http://schemas.openxmlformats.org/officeDocument/2006/relationships/image" Target="media/image9.emf"/><Relationship Id="rId51" Type="http://schemas.openxmlformats.org/officeDocument/2006/relationships/hyperlink" Target="http://dx.doi.org/10.1787/812017161P1G006.xlsx" TargetMode="External"/><Relationship Id="rId52" Type="http://schemas.openxmlformats.org/officeDocument/2006/relationships/image" Target="media/image10.emf"/><Relationship Id="rId53" Type="http://schemas.openxmlformats.org/officeDocument/2006/relationships/hyperlink" Target="http://dx.doi.org/10.1787/812017161P1G007.xlsx" TargetMode="External"/><Relationship Id="rId54" Type="http://schemas.openxmlformats.org/officeDocument/2006/relationships/image" Target="media/image11.emf"/><Relationship Id="rId55" Type="http://schemas.openxmlformats.org/officeDocument/2006/relationships/hyperlink" Target="http://dx.doi.org/10.1787/812017161P1G008.xlsx" TargetMode="External"/><Relationship Id="rId56" Type="http://schemas.openxmlformats.org/officeDocument/2006/relationships/image" Target="media/image12.emf"/><Relationship Id="rId57" Type="http://schemas.openxmlformats.org/officeDocument/2006/relationships/hyperlink" Target="http://dx.doi.org/10.1787/812017161P1G009.xlsx" TargetMode="External"/><Relationship Id="rId58" Type="http://schemas.openxmlformats.org/officeDocument/2006/relationships/image" Target="media/image13.emf"/><Relationship Id="rId59" Type="http://schemas.openxmlformats.org/officeDocument/2006/relationships/hyperlink" Target="http://dx.doi.org/10.1787/812017161P1G010.xlsx" TargetMode="External"/><Relationship Id="rId70" Type="http://schemas.openxmlformats.org/officeDocument/2006/relationships/hyperlink" Target="http://dx.doi.org/10.1787/812017161P1G015.xlsx" TargetMode="External"/><Relationship Id="rId71" Type="http://schemas.openxmlformats.org/officeDocument/2006/relationships/image" Target="media/image20.emf"/><Relationship Id="rId72" Type="http://schemas.openxmlformats.org/officeDocument/2006/relationships/hyperlink" Target="http://dx.doi.org/10.1787/812017161P1G016.xlsx" TargetMode="External"/><Relationship Id="rId73" Type="http://schemas.openxmlformats.org/officeDocument/2006/relationships/image" Target="media/image21.emf"/><Relationship Id="rId74" Type="http://schemas.openxmlformats.org/officeDocument/2006/relationships/hyperlink" Target="http://dx.doi.org/10.1787/812017161P1G017.xlsx" TargetMode="External"/><Relationship Id="rId75" Type="http://schemas.openxmlformats.org/officeDocument/2006/relationships/image" Target="media/image22.emf"/><Relationship Id="rId76" Type="http://schemas.openxmlformats.org/officeDocument/2006/relationships/hyperlink" Target="http://dx.doi.org/10.1787/812017161P1G018.xlsx" TargetMode="External"/><Relationship Id="rId77" Type="http://schemas.openxmlformats.org/officeDocument/2006/relationships/image" Target="media/image23.emf"/><Relationship Id="rId78" Type="http://schemas.openxmlformats.org/officeDocument/2006/relationships/hyperlink" Target="http://dx.doi.org/10.1787/812017161P1G019.xlsx" TargetMode="External"/><Relationship Id="rId79" Type="http://schemas.openxmlformats.org/officeDocument/2006/relationships/image" Target="media/image24.emf"/><Relationship Id="rId90" Type="http://schemas.openxmlformats.org/officeDocument/2006/relationships/header" Target="header18.xml"/><Relationship Id="rId91" Type="http://schemas.openxmlformats.org/officeDocument/2006/relationships/hyperlink" Target="http://opus.bath.ac.uk/view/person_id/2056.html" TargetMode="External"/><Relationship Id="rId92" Type="http://schemas.openxmlformats.org/officeDocument/2006/relationships/hyperlink" Target="http://g20.org.tr/wp-content/uploads/2015/11/G20-Framework-on-Promoting-Quality-Jobs.pdf" TargetMode="External"/><Relationship Id="rId93" Type="http://schemas.openxmlformats.org/officeDocument/2006/relationships/hyperlink" Target="http://www.oecd.org/els/emp/Youth-Action-Plan.pdf" TargetMode="External"/><Relationship Id="rId94" Type="http://schemas.openxmlformats.org/officeDocument/2006/relationships/hyperlink" Target="http://www.oecd.org/education/database.htm" TargetMode="External"/><Relationship Id="rId95" Type="http://schemas.openxmlformats.org/officeDocument/2006/relationships/hyperlink" Target="http://www.oecd.org/social/income-distribution-database.htm." TargetMode="External"/><Relationship Id="rId96" Type="http://schemas.openxmlformats.org/officeDocument/2006/relationships/hyperlink" Target="http://www.oecd.org/cfe/regional-policy/regionalstatisticsandindicators.htm" TargetMode="External"/><Relationship Id="rId97" Type="http://schemas.openxmlformats.org/officeDocument/2006/relationships/hyperlink" Target="http://stats.oecd.org/index.aspx?DatasetCode=WEALTH" TargetMode="External"/><Relationship Id="rId98" Type="http://schemas.openxmlformats.org/officeDocument/2006/relationships/header" Target="header19.xml"/><Relationship Id="rId99" Type="http://schemas.openxmlformats.org/officeDocument/2006/relationships/header" Target="header20.xm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image" Target="media/image1.jpeg"/><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header" Target="header9.xml"/><Relationship Id="rId29" Type="http://schemas.openxmlformats.org/officeDocument/2006/relationships/header" Target="header10.xml"/><Relationship Id="rId40" Type="http://schemas.openxmlformats.org/officeDocument/2006/relationships/image" Target="media/image3.emf"/><Relationship Id="rId41" Type="http://schemas.openxmlformats.org/officeDocument/2006/relationships/hyperlink" Target="http://dx.doi.org/10.1787/812017161P1G002.xlsx" TargetMode="External"/><Relationship Id="rId42" Type="http://schemas.openxmlformats.org/officeDocument/2006/relationships/image" Target="media/image4.emf"/><Relationship Id="rId43" Type="http://schemas.openxmlformats.org/officeDocument/2006/relationships/image" Target="media/image5.emf"/><Relationship Id="rId44" Type="http://schemas.openxmlformats.org/officeDocument/2006/relationships/hyperlink" Target="http://dx.doi.org/10.1787/812017161P1G003.xlsx" TargetMode="External"/><Relationship Id="rId45" Type="http://schemas.openxmlformats.org/officeDocument/2006/relationships/image" Target="media/image6.emf"/><Relationship Id="rId46" Type="http://schemas.openxmlformats.org/officeDocument/2006/relationships/image" Target="media/image7.emf"/><Relationship Id="rId47" Type="http://schemas.openxmlformats.org/officeDocument/2006/relationships/hyperlink" Target="http://dx.doi.org/10.1787/812017161P1G004.xlsx" TargetMode="External"/><Relationship Id="rId48" Type="http://schemas.openxmlformats.org/officeDocument/2006/relationships/image" Target="media/image8.emf"/><Relationship Id="rId49" Type="http://schemas.openxmlformats.org/officeDocument/2006/relationships/hyperlink" Target="http://dx.doi.org/10.1787/812017161P1G005.xlsx" TargetMode="External"/><Relationship Id="rId60" Type="http://schemas.openxmlformats.org/officeDocument/2006/relationships/image" Target="media/image14.emf"/><Relationship Id="rId61" Type="http://schemas.openxmlformats.org/officeDocument/2006/relationships/image" Target="media/image15.emf"/><Relationship Id="rId62" Type="http://schemas.openxmlformats.org/officeDocument/2006/relationships/hyperlink" Target="http://dx.doi.org/10.1787/812017161P1G011.xlsx" TargetMode="External"/><Relationship Id="rId63" Type="http://schemas.openxmlformats.org/officeDocument/2006/relationships/image" Target="media/image16.emf"/><Relationship Id="rId64" Type="http://schemas.openxmlformats.org/officeDocument/2006/relationships/hyperlink" Target="http://dx.doi.org/10.1787/812017161P1G012.xlsx" TargetMode="External"/><Relationship Id="rId65" Type="http://schemas.openxmlformats.org/officeDocument/2006/relationships/image" Target="media/image17.emf"/><Relationship Id="rId66" Type="http://schemas.openxmlformats.org/officeDocument/2006/relationships/hyperlink" Target="http://dx.doi.org/10.1787/812017161P1G013.xlsx" TargetMode="External"/><Relationship Id="rId67" Type="http://schemas.openxmlformats.org/officeDocument/2006/relationships/image" Target="media/image18.emf"/><Relationship Id="rId68" Type="http://schemas.openxmlformats.org/officeDocument/2006/relationships/hyperlink" Target="http://dx.doi.org/10.1787/812017161P1G014.xlsx" TargetMode="External"/><Relationship Id="rId69" Type="http://schemas.openxmlformats.org/officeDocument/2006/relationships/image" Target="media/image19.emf"/><Relationship Id="rId100" Type="http://schemas.openxmlformats.org/officeDocument/2006/relationships/footer" Target="footer10.xml"/><Relationship Id="rId80" Type="http://schemas.openxmlformats.org/officeDocument/2006/relationships/hyperlink" Target="http://dx.doi.org/10.1787/812017161P1G020.xlsx" TargetMode="External"/><Relationship Id="rId81" Type="http://schemas.openxmlformats.org/officeDocument/2006/relationships/image" Target="media/image25.emf"/><Relationship Id="rId82" Type="http://schemas.openxmlformats.org/officeDocument/2006/relationships/hyperlink" Target="http://dx.doi.org/10.1787/812017161P1G021.xlsx" TargetMode="External"/><Relationship Id="rId83" Type="http://schemas.openxmlformats.org/officeDocument/2006/relationships/image" Target="media/image26.emf"/><Relationship Id="rId84" Type="http://schemas.openxmlformats.org/officeDocument/2006/relationships/hyperlink" Target="http://dx.doi.org/10.1787/812017161P1G022.xlsx" TargetMode="External"/><Relationship Id="rId85" Type="http://schemas.openxmlformats.org/officeDocument/2006/relationships/image" Target="media/image27.emf"/><Relationship Id="rId86" Type="http://schemas.openxmlformats.org/officeDocument/2006/relationships/hyperlink" Target="http://dx.doi.org/10.1787/812017161P1G023.xlsx" TargetMode="External"/><Relationship Id="rId87" Type="http://schemas.openxmlformats.org/officeDocument/2006/relationships/image" Target="media/image28.emf"/><Relationship Id="rId88" Type="http://schemas.openxmlformats.org/officeDocument/2006/relationships/hyperlink" Target="http://dx.doi.org/10.1787/812017161P1G024.xlsx" TargetMode="External"/><Relationship Id="rId89" Type="http://schemas.openxmlformats.org/officeDocument/2006/relationships/header" Target="header17.xml"/></Relationships>
</file>

<file path=word/_rels/endnotes.xml.rels><?xml version="1.0" encoding="UTF-8" standalone="yes"?>
<Relationships xmlns="http://schemas.openxmlformats.org/package/2006/relationships"><Relationship Id="rId1" Type="http://schemas.openxmlformats.org/officeDocument/2006/relationships/hyperlink" Target="http://www.springboardcourses.ie/pdfs/Springboard%20Trend%20Analysis.pdf" TargetMode="External"/><Relationship Id="rId2" Type="http://schemas.openxmlformats.org/officeDocument/2006/relationships/hyperlink" Target="http://www.akava.fi/en/current_issues/current_themes/longer_careers_with_the_job_life_cycle_model" TargetMode="External"/><Relationship Id="rId3" Type="http://schemas.openxmlformats.org/officeDocument/2006/relationships/hyperlink" Target="http://europa.eu/rapid/press-release_IP-17-1006_en.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social/C-MIN-2017-6-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719DC74055884EB4DCF7941CE0E4BF" ma:contentTypeVersion="12" ma:contentTypeDescription="Create a new document." ma:contentTypeScope="" ma:versionID="9f10b69071d3e7351409932a5b7dca4e">
  <xsd:schema xmlns:xsd="http://www.w3.org/2001/XMLSchema" xmlns:p="http://schemas.microsoft.com/office/2006/metadata/properties" xmlns:ns1="http://schemas.microsoft.com/sharepoint/v3" targetNamespace="http://schemas.microsoft.com/office/2006/metadata/properties" ma:root="true" ma:fieldsID="95c0db4df0ef37d18f9d85e740968ab4"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element name="EmailSender" ma:index="13" nillable="true" ma:displayName="E-Mail Sender" ma:hidden="true" ma:internalName="EmailSender">
      <xsd:simpleType>
        <xsd:restriction base="dms:Note"/>
      </xsd:simpleType>
    </xsd:element>
    <xsd:element name="EmailTo" ma:index="14" nillable="true" ma:displayName="E-Mail To" ma:hidden="true" ma:internalName="EmailTo">
      <xsd:simpleType>
        <xsd:restriction base="dms:Note"/>
      </xsd:simpleType>
    </xsd:element>
    <xsd:element name="EmailCc" ma:index="15" nillable="true" ma:displayName="E-Mail Cc" ma:hidden="true" ma:internalName="EmailCc">
      <xsd:simpleType>
        <xsd:restriction base="dms:Note"/>
      </xsd:simpleType>
    </xsd:element>
    <xsd:element name="EmailFrom" ma:index="16" nillable="true" ma:displayName="E-Mail From" ma:hidden="true" ma:internalName="EmailFrom">
      <xsd:simpleType>
        <xsd:restriction base="dms:Text"/>
      </xsd:simpleType>
    </xsd:element>
    <xsd:element name="EmailSubject" ma:index="17"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9A868-7E56-4358-8024-30A42A5C6A39}">
  <ds:schemaRef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schemas.microsoft.com/sharepoint/v3"/>
  </ds:schemaRefs>
</ds:datastoreItem>
</file>

<file path=customXml/itemProps2.xml><?xml version="1.0" encoding="utf-8"?>
<ds:datastoreItem xmlns:ds="http://schemas.openxmlformats.org/officeDocument/2006/customXml" ds:itemID="{BD20D1F8-A23E-413A-8F8C-581194758035}">
  <ds:schemaRefs>
    <ds:schemaRef ds:uri="http://schemas.microsoft.com/sharepoint/v3/contenttype/forms"/>
  </ds:schemaRefs>
</ds:datastoreItem>
</file>

<file path=customXml/itemProps3.xml><?xml version="1.0" encoding="utf-8"?>
<ds:datastoreItem xmlns:ds="http://schemas.openxmlformats.org/officeDocument/2006/customXml" ds:itemID="{D8F4815D-70E5-48CF-BFDA-089969D74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3634F8-0FB8-DE42-8DEC-BECE81D9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28929</Words>
  <Characters>159113</Characters>
  <Application>Microsoft Macintosh Word</Application>
  <DocSecurity>0</DocSecurity>
  <Lines>1325</Lines>
  <Paragraphs>375</Paragraphs>
  <ScaleCrop>false</ScaleCrop>
  <HeadingPairs>
    <vt:vector size="2" baseType="variant">
      <vt:variant>
        <vt:lpstr>Title</vt:lpstr>
      </vt:variant>
      <vt:variant>
        <vt:i4>1</vt:i4>
      </vt:variant>
    </vt:vector>
  </HeadingPairs>
  <TitlesOfParts>
    <vt:vector size="1" baseType="lpstr">
      <vt:lpstr>19x27 CRC Template</vt:lpstr>
    </vt:vector>
  </TitlesOfParts>
  <Company>OECD</Company>
  <LinksUpToDate>false</LinksUpToDate>
  <CharactersWithSpaces>187667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19x27 CRC Template</dc:title>
  <dc:creator>MOHIER Marlène</dc:creator>
  <cp:lastModifiedBy>Leticia</cp:lastModifiedBy>
  <cp:revision>2</cp:revision>
  <cp:lastPrinted>2017-09-14T09:35:00Z</cp:lastPrinted>
  <dcterms:created xsi:type="dcterms:W3CDTF">2017-10-25T16:09:00Z</dcterms:created>
  <dcterms:modified xsi:type="dcterms:W3CDTF">2017-10-25T16:09:00Z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0x01010008719DC74055884EB4DCF7941CE0E4BF</vt:lpwstr>
  </property>
</Properties>
</file>